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02" w:rsidRDefault="00A13C02" w:rsidP="00D018F4">
      <w:pPr>
        <w:jc w:val="center"/>
        <w:rPr>
          <w:rFonts w:ascii="Arial" w:hAnsi="Arial"/>
          <w:b/>
          <w:bCs/>
          <w:color w:val="000000"/>
          <w:sz w:val="24"/>
          <w:szCs w:val="24"/>
        </w:rPr>
      </w:pPr>
    </w:p>
    <w:p w:rsidR="0054752C" w:rsidRDefault="002900A3" w:rsidP="00D018F4">
      <w:pPr>
        <w:jc w:val="center"/>
        <w:rPr>
          <w:rFonts w:ascii="Arial" w:hAnsi="Arial"/>
          <w:b/>
          <w:bCs/>
          <w:color w:val="000000"/>
          <w:sz w:val="24"/>
          <w:szCs w:val="24"/>
        </w:rPr>
      </w:pPr>
      <w:r>
        <w:rPr>
          <w:rFonts w:ascii="Arial" w:hAnsi="Arial"/>
          <w:b/>
          <w:bCs/>
          <w:color w:val="000000"/>
          <w:sz w:val="24"/>
          <w:szCs w:val="24"/>
        </w:rPr>
        <w:t xml:space="preserve">2012 </w:t>
      </w:r>
      <w:r w:rsidR="00756C0D">
        <w:rPr>
          <w:rFonts w:ascii="Arial" w:hAnsi="Arial"/>
          <w:b/>
          <w:bCs/>
          <w:color w:val="000000"/>
          <w:sz w:val="24"/>
          <w:szCs w:val="24"/>
        </w:rPr>
        <w:t>Update to Response</w:t>
      </w:r>
      <w:r w:rsidR="0054752C" w:rsidRPr="00935374">
        <w:rPr>
          <w:rFonts w:ascii="Arial" w:hAnsi="Arial"/>
          <w:b/>
          <w:bCs/>
          <w:color w:val="000000"/>
          <w:sz w:val="24"/>
          <w:szCs w:val="24"/>
        </w:rPr>
        <w:t xml:space="preserve"> </w:t>
      </w:r>
      <w:r w:rsidR="0054752C">
        <w:rPr>
          <w:rFonts w:ascii="Arial" w:hAnsi="Arial"/>
          <w:b/>
          <w:bCs/>
          <w:color w:val="000000"/>
          <w:sz w:val="24"/>
          <w:szCs w:val="24"/>
        </w:rPr>
        <w:t>to the 200</w:t>
      </w:r>
      <w:r w:rsidR="00D826F7">
        <w:rPr>
          <w:rFonts w:ascii="Arial" w:hAnsi="Arial"/>
          <w:b/>
          <w:bCs/>
          <w:color w:val="000000"/>
          <w:sz w:val="24"/>
          <w:szCs w:val="24"/>
        </w:rPr>
        <w:t>8</w:t>
      </w:r>
      <w:r w:rsidR="0054752C">
        <w:rPr>
          <w:rFonts w:ascii="Arial" w:hAnsi="Arial"/>
          <w:b/>
          <w:bCs/>
          <w:color w:val="000000"/>
          <w:sz w:val="24"/>
          <w:szCs w:val="24"/>
        </w:rPr>
        <w:t>-20</w:t>
      </w:r>
      <w:r w:rsidR="00D826F7">
        <w:rPr>
          <w:rFonts w:ascii="Arial" w:hAnsi="Arial"/>
          <w:b/>
          <w:bCs/>
          <w:color w:val="000000"/>
          <w:sz w:val="24"/>
          <w:szCs w:val="24"/>
        </w:rPr>
        <w:t>10</w:t>
      </w:r>
      <w:r w:rsidR="00D018F4" w:rsidRPr="00935374">
        <w:rPr>
          <w:rFonts w:ascii="Arial" w:hAnsi="Arial"/>
          <w:b/>
          <w:bCs/>
          <w:color w:val="000000"/>
          <w:sz w:val="24"/>
          <w:szCs w:val="24"/>
        </w:rPr>
        <w:t xml:space="preserve"> </w:t>
      </w:r>
    </w:p>
    <w:p w:rsidR="005A7C3E" w:rsidRDefault="00D018F4" w:rsidP="00D018F4">
      <w:pPr>
        <w:jc w:val="center"/>
        <w:rPr>
          <w:rFonts w:ascii="Arial" w:hAnsi="Arial"/>
          <w:b/>
          <w:bCs/>
          <w:color w:val="000000"/>
          <w:sz w:val="24"/>
          <w:szCs w:val="24"/>
        </w:rPr>
      </w:pPr>
      <w:r w:rsidRPr="00935374">
        <w:rPr>
          <w:rFonts w:ascii="Arial" w:hAnsi="Arial"/>
          <w:b/>
          <w:bCs/>
          <w:color w:val="000000"/>
          <w:sz w:val="24"/>
          <w:szCs w:val="24"/>
        </w:rPr>
        <w:t>COMMITTEE OF VISITORS</w:t>
      </w:r>
      <w:r w:rsidR="0054752C">
        <w:rPr>
          <w:rFonts w:ascii="Arial" w:hAnsi="Arial"/>
          <w:b/>
          <w:bCs/>
          <w:color w:val="000000"/>
          <w:sz w:val="24"/>
          <w:szCs w:val="24"/>
        </w:rPr>
        <w:t xml:space="preserve"> </w:t>
      </w:r>
    </w:p>
    <w:p w:rsidR="0054752C" w:rsidRDefault="0054752C" w:rsidP="00D018F4">
      <w:pPr>
        <w:jc w:val="center"/>
        <w:rPr>
          <w:rFonts w:ascii="Arial" w:hAnsi="Arial"/>
          <w:b/>
          <w:color w:val="000000"/>
          <w:sz w:val="24"/>
          <w:szCs w:val="24"/>
        </w:rPr>
      </w:pPr>
      <w:r>
        <w:rPr>
          <w:rFonts w:ascii="Arial" w:hAnsi="Arial"/>
          <w:b/>
          <w:bCs/>
          <w:color w:val="000000"/>
          <w:sz w:val="24"/>
          <w:szCs w:val="24"/>
        </w:rPr>
        <w:t>Report</w:t>
      </w:r>
      <w:r w:rsidR="005A7C3E">
        <w:rPr>
          <w:rFonts w:ascii="Arial" w:hAnsi="Arial"/>
          <w:b/>
          <w:bCs/>
          <w:color w:val="000000"/>
          <w:sz w:val="24"/>
          <w:szCs w:val="24"/>
        </w:rPr>
        <w:t xml:space="preserve"> for</w:t>
      </w:r>
      <w:r w:rsidRPr="0054752C">
        <w:rPr>
          <w:rFonts w:ascii="Arial" w:hAnsi="Arial"/>
          <w:b/>
          <w:color w:val="000000"/>
          <w:sz w:val="24"/>
          <w:szCs w:val="24"/>
        </w:rPr>
        <w:t xml:space="preserve"> </w:t>
      </w:r>
    </w:p>
    <w:p w:rsidR="0054752C" w:rsidRPr="00935374" w:rsidRDefault="0054752C" w:rsidP="0054752C">
      <w:pPr>
        <w:pStyle w:val="BodyText"/>
        <w:jc w:val="center"/>
        <w:rPr>
          <w:color w:val="000000"/>
          <w:szCs w:val="24"/>
        </w:rPr>
      </w:pPr>
      <w:r w:rsidRPr="00935374">
        <w:rPr>
          <w:color w:val="000000"/>
          <w:szCs w:val="24"/>
        </w:rPr>
        <w:t>HYDROLOGICAL SCIENCES (HS), GEOBIOLOGY AND LOW TEMPERATURE GEOCHEMISTRY (GG), GEOMORPHOLOGY AND LAND-USE DYNAMICS (GLD), SEDIMENTARY GEOLOGY AND PALEOBIOLOGY (SGP) PROGRAMS</w:t>
      </w:r>
    </w:p>
    <w:p w:rsidR="00E6614A" w:rsidRDefault="00643720" w:rsidP="00E6614A">
      <w:pPr>
        <w:jc w:val="center"/>
        <w:rPr>
          <w:rFonts w:ascii="Arial" w:hAnsi="Arial"/>
          <w:bCs/>
          <w:color w:val="000000"/>
          <w:sz w:val="24"/>
          <w:szCs w:val="24"/>
        </w:rPr>
      </w:pPr>
      <w:r w:rsidRPr="00EF2707">
        <w:rPr>
          <w:rFonts w:ascii="Arial" w:hAnsi="Arial"/>
          <w:bCs/>
          <w:color w:val="000000"/>
          <w:sz w:val="24"/>
          <w:szCs w:val="24"/>
        </w:rPr>
        <w:t>(</w:t>
      </w:r>
      <w:r w:rsidR="00F04AA8" w:rsidRPr="00EF2707">
        <w:rPr>
          <w:rFonts w:ascii="Arial" w:hAnsi="Arial"/>
          <w:bCs/>
          <w:color w:val="000000"/>
          <w:sz w:val="24"/>
          <w:szCs w:val="24"/>
        </w:rPr>
        <w:t>September</w:t>
      </w:r>
      <w:r w:rsidRPr="00EF2707">
        <w:rPr>
          <w:rFonts w:ascii="Arial" w:hAnsi="Arial"/>
          <w:bCs/>
          <w:color w:val="000000"/>
          <w:sz w:val="24"/>
          <w:szCs w:val="24"/>
        </w:rPr>
        <w:t xml:space="preserve"> </w:t>
      </w:r>
      <w:r w:rsidR="00756C0D">
        <w:rPr>
          <w:rFonts w:ascii="Arial" w:hAnsi="Arial"/>
          <w:bCs/>
          <w:color w:val="000000"/>
          <w:sz w:val="24"/>
          <w:szCs w:val="24"/>
        </w:rPr>
        <w:t>26</w:t>
      </w:r>
      <w:r w:rsidRPr="00EF2707">
        <w:rPr>
          <w:rFonts w:ascii="Arial" w:hAnsi="Arial"/>
          <w:bCs/>
          <w:color w:val="000000"/>
          <w:sz w:val="24"/>
          <w:szCs w:val="24"/>
        </w:rPr>
        <w:t>, 201</w:t>
      </w:r>
      <w:r w:rsidR="00F04AA8" w:rsidRPr="00EF2707">
        <w:rPr>
          <w:rFonts w:ascii="Arial" w:hAnsi="Arial"/>
          <w:bCs/>
          <w:color w:val="000000"/>
          <w:sz w:val="24"/>
          <w:szCs w:val="24"/>
        </w:rPr>
        <w:t>2</w:t>
      </w:r>
      <w:r w:rsidR="00E6614A" w:rsidRPr="00EF2707">
        <w:rPr>
          <w:rFonts w:ascii="Arial" w:hAnsi="Arial"/>
          <w:bCs/>
          <w:color w:val="000000"/>
          <w:sz w:val="24"/>
          <w:szCs w:val="24"/>
        </w:rPr>
        <w:t>)</w:t>
      </w:r>
    </w:p>
    <w:p w:rsidR="0054752C" w:rsidRDefault="0054752C" w:rsidP="00D018F4">
      <w:pPr>
        <w:jc w:val="center"/>
        <w:rPr>
          <w:rFonts w:ascii="Arial" w:hAnsi="Arial"/>
          <w:b/>
          <w:bCs/>
          <w:color w:val="000000"/>
          <w:sz w:val="24"/>
          <w:szCs w:val="24"/>
        </w:rPr>
      </w:pPr>
      <w:r w:rsidRPr="00935374">
        <w:rPr>
          <w:rFonts w:ascii="Arial" w:hAnsi="Arial"/>
          <w:b/>
          <w:bCs/>
          <w:color w:val="000000"/>
          <w:sz w:val="24"/>
          <w:szCs w:val="24"/>
        </w:rPr>
        <w:t xml:space="preserve"> </w:t>
      </w:r>
    </w:p>
    <w:p w:rsidR="0054752C" w:rsidRDefault="0054752C" w:rsidP="00D018F4">
      <w:pPr>
        <w:jc w:val="center"/>
        <w:rPr>
          <w:rFonts w:ascii="Arial" w:hAnsi="Arial"/>
          <w:b/>
          <w:bCs/>
          <w:color w:val="000000"/>
          <w:sz w:val="24"/>
          <w:szCs w:val="24"/>
        </w:rPr>
      </w:pPr>
    </w:p>
    <w:p w:rsidR="008671C7" w:rsidRDefault="008671C7" w:rsidP="00E95BAA">
      <w:pPr>
        <w:jc w:val="center"/>
        <w:rPr>
          <w:rFonts w:ascii="Arial" w:hAnsi="Arial"/>
          <w:b/>
          <w:bCs/>
          <w:color w:val="000000"/>
          <w:sz w:val="24"/>
          <w:szCs w:val="24"/>
        </w:rPr>
        <w:sectPr w:rsidR="008671C7">
          <w:headerReference w:type="default" r:id="rId12"/>
          <w:footerReference w:type="even" r:id="rId13"/>
          <w:footerReference w:type="default" r:id="rId14"/>
          <w:pgSz w:w="12240" w:h="15840"/>
          <w:pgMar w:top="1440" w:right="1800" w:bottom="1152" w:left="1800" w:header="720" w:footer="720" w:gutter="0"/>
          <w:cols w:space="720"/>
          <w:titlePg/>
        </w:sectPr>
      </w:pPr>
    </w:p>
    <w:p w:rsidR="005A7C3E" w:rsidRDefault="005A7C3E" w:rsidP="00E95BAA">
      <w:pPr>
        <w:jc w:val="center"/>
        <w:rPr>
          <w:rFonts w:ascii="Arial" w:hAnsi="Arial"/>
          <w:b/>
          <w:bCs/>
          <w:color w:val="000000"/>
          <w:sz w:val="24"/>
          <w:szCs w:val="24"/>
        </w:rPr>
      </w:pPr>
      <w:r>
        <w:rPr>
          <w:rFonts w:ascii="Arial" w:hAnsi="Arial"/>
          <w:b/>
          <w:bCs/>
          <w:color w:val="000000"/>
          <w:sz w:val="24"/>
          <w:szCs w:val="24"/>
        </w:rPr>
        <w:lastRenderedPageBreak/>
        <w:t xml:space="preserve">Submitted </w:t>
      </w:r>
      <w:r w:rsidR="0054752C">
        <w:rPr>
          <w:rFonts w:ascii="Arial" w:hAnsi="Arial"/>
          <w:b/>
          <w:bCs/>
          <w:color w:val="000000"/>
          <w:sz w:val="24"/>
          <w:szCs w:val="24"/>
        </w:rPr>
        <w:t>By</w:t>
      </w:r>
      <w:r>
        <w:rPr>
          <w:rFonts w:ascii="Arial" w:hAnsi="Arial"/>
          <w:b/>
          <w:bCs/>
          <w:color w:val="000000"/>
          <w:sz w:val="24"/>
          <w:szCs w:val="24"/>
        </w:rPr>
        <w:t>:</w:t>
      </w:r>
    </w:p>
    <w:p w:rsidR="00E95BAA" w:rsidRDefault="00E95BAA" w:rsidP="00E95BAA">
      <w:pPr>
        <w:jc w:val="center"/>
        <w:rPr>
          <w:rFonts w:ascii="Arial" w:hAnsi="Arial"/>
          <w:b/>
          <w:bCs/>
          <w:color w:val="000000"/>
          <w:sz w:val="24"/>
          <w:szCs w:val="24"/>
        </w:rPr>
      </w:pPr>
    </w:p>
    <w:p w:rsidR="00E95BAA" w:rsidRPr="00935374" w:rsidRDefault="00E95BAA" w:rsidP="00242F6D">
      <w:pPr>
        <w:rPr>
          <w:rFonts w:ascii="Arial" w:hAnsi="Arial"/>
          <w:b/>
          <w:bCs/>
          <w:color w:val="000000"/>
          <w:sz w:val="24"/>
          <w:szCs w:val="24"/>
        </w:rPr>
      </w:pPr>
    </w:p>
    <w:p w:rsidR="0054752C" w:rsidRPr="00242F6D" w:rsidRDefault="0054752C" w:rsidP="0054752C">
      <w:pPr>
        <w:jc w:val="center"/>
        <w:rPr>
          <w:rFonts w:ascii="Arial" w:hAnsi="Arial"/>
          <w:color w:val="000000"/>
          <w:sz w:val="24"/>
          <w:szCs w:val="24"/>
        </w:rPr>
      </w:pPr>
      <w:r w:rsidRPr="00242F6D">
        <w:rPr>
          <w:rFonts w:ascii="Arial" w:hAnsi="Arial"/>
          <w:color w:val="000000"/>
          <w:sz w:val="24"/>
          <w:szCs w:val="24"/>
        </w:rPr>
        <w:t>T. A. (Jun) Abrajano, Head</w:t>
      </w:r>
    </w:p>
    <w:p w:rsidR="0054752C" w:rsidRPr="00242F6D" w:rsidRDefault="0054752C" w:rsidP="0054752C">
      <w:pPr>
        <w:jc w:val="center"/>
        <w:rPr>
          <w:rFonts w:ascii="Arial" w:hAnsi="Arial"/>
          <w:color w:val="000000"/>
          <w:sz w:val="24"/>
          <w:szCs w:val="24"/>
        </w:rPr>
      </w:pPr>
      <w:r w:rsidRPr="00242F6D">
        <w:rPr>
          <w:rFonts w:ascii="Arial" w:hAnsi="Arial"/>
          <w:color w:val="000000"/>
          <w:sz w:val="24"/>
          <w:szCs w:val="24"/>
        </w:rPr>
        <w:t>Surface Earth Processes Section</w:t>
      </w:r>
      <w:r w:rsidR="005A7C3E" w:rsidRPr="00242F6D">
        <w:rPr>
          <w:rFonts w:ascii="Arial" w:hAnsi="Arial"/>
          <w:color w:val="000000"/>
          <w:sz w:val="24"/>
          <w:szCs w:val="24"/>
        </w:rPr>
        <w:t xml:space="preserve"> </w:t>
      </w:r>
    </w:p>
    <w:p w:rsidR="00E6614A" w:rsidRPr="00242F6D" w:rsidRDefault="0054752C" w:rsidP="00E6614A">
      <w:pPr>
        <w:jc w:val="center"/>
        <w:rPr>
          <w:rFonts w:ascii="Arial" w:hAnsi="Arial"/>
          <w:color w:val="000000"/>
          <w:sz w:val="24"/>
          <w:szCs w:val="24"/>
        </w:rPr>
      </w:pPr>
      <w:r w:rsidRPr="00242F6D">
        <w:rPr>
          <w:rFonts w:ascii="Arial" w:hAnsi="Arial"/>
          <w:color w:val="000000"/>
          <w:sz w:val="24"/>
          <w:szCs w:val="24"/>
        </w:rPr>
        <w:t>Division of Earth Sciences</w:t>
      </w:r>
      <w:r w:rsidR="008671C7">
        <w:rPr>
          <w:rFonts w:ascii="Arial" w:hAnsi="Arial"/>
          <w:color w:val="000000"/>
          <w:sz w:val="24"/>
          <w:szCs w:val="24"/>
        </w:rPr>
        <w:t xml:space="preserve">      </w:t>
      </w:r>
      <w:r w:rsidR="00E6614A" w:rsidRPr="00242F6D">
        <w:rPr>
          <w:rFonts w:ascii="Arial" w:hAnsi="Arial"/>
          <w:color w:val="000000"/>
          <w:sz w:val="24"/>
          <w:szCs w:val="24"/>
        </w:rPr>
        <w:t>National Science Foundation</w:t>
      </w:r>
    </w:p>
    <w:p w:rsidR="008671C7" w:rsidRPr="008671C7" w:rsidRDefault="008671C7" w:rsidP="008671C7">
      <w:pPr>
        <w:jc w:val="center"/>
        <w:rPr>
          <w:rFonts w:ascii="Arial" w:hAnsi="Arial"/>
          <w:color w:val="000000"/>
          <w:sz w:val="24"/>
          <w:szCs w:val="24"/>
        </w:rPr>
      </w:pPr>
      <w:r w:rsidRPr="00E95BAA">
        <w:rPr>
          <w:rFonts w:ascii="Arial" w:hAnsi="Arial"/>
          <w:b/>
          <w:bCs/>
          <w:color w:val="000000"/>
          <w:sz w:val="24"/>
          <w:szCs w:val="24"/>
        </w:rPr>
        <w:lastRenderedPageBreak/>
        <w:t>Concurred By:</w:t>
      </w:r>
    </w:p>
    <w:p w:rsidR="00E95BAA" w:rsidRDefault="00E95BAA" w:rsidP="0054752C">
      <w:pPr>
        <w:jc w:val="center"/>
        <w:rPr>
          <w:rFonts w:ascii="Arial" w:hAnsi="Arial"/>
          <w:bCs/>
          <w:color w:val="000000"/>
          <w:sz w:val="24"/>
          <w:szCs w:val="24"/>
        </w:rPr>
      </w:pPr>
    </w:p>
    <w:p w:rsidR="00E95BAA" w:rsidRDefault="00E95BAA" w:rsidP="00E6614A">
      <w:pPr>
        <w:rPr>
          <w:rFonts w:ascii="Arial" w:hAnsi="Arial"/>
          <w:bCs/>
          <w:color w:val="000000"/>
          <w:sz w:val="24"/>
          <w:szCs w:val="24"/>
        </w:rPr>
      </w:pPr>
    </w:p>
    <w:p w:rsidR="00E95BAA" w:rsidRDefault="00E95BAA" w:rsidP="0054752C">
      <w:pPr>
        <w:jc w:val="center"/>
        <w:rPr>
          <w:rFonts w:ascii="Arial" w:hAnsi="Arial"/>
          <w:bCs/>
          <w:color w:val="000000"/>
          <w:sz w:val="24"/>
          <w:szCs w:val="24"/>
        </w:rPr>
      </w:pPr>
      <w:r>
        <w:rPr>
          <w:rFonts w:ascii="Arial" w:hAnsi="Arial"/>
          <w:bCs/>
          <w:color w:val="000000"/>
          <w:sz w:val="24"/>
          <w:szCs w:val="24"/>
        </w:rPr>
        <w:t xml:space="preserve">R. </w:t>
      </w:r>
      <w:r w:rsidR="001469FD">
        <w:rPr>
          <w:rFonts w:ascii="Arial" w:hAnsi="Arial"/>
          <w:bCs/>
          <w:color w:val="000000"/>
          <w:sz w:val="24"/>
          <w:szCs w:val="24"/>
        </w:rPr>
        <w:t xml:space="preserve">S. </w:t>
      </w:r>
      <w:r>
        <w:rPr>
          <w:rFonts w:ascii="Arial" w:hAnsi="Arial"/>
          <w:bCs/>
          <w:color w:val="000000"/>
          <w:sz w:val="24"/>
          <w:szCs w:val="24"/>
        </w:rPr>
        <w:t>Detrick, Director</w:t>
      </w:r>
    </w:p>
    <w:p w:rsidR="00E95BAA" w:rsidRPr="00242F6D" w:rsidRDefault="00E95BAA" w:rsidP="00E95BAA">
      <w:pPr>
        <w:jc w:val="center"/>
        <w:rPr>
          <w:rFonts w:ascii="Arial" w:hAnsi="Arial"/>
          <w:color w:val="000000"/>
          <w:sz w:val="24"/>
          <w:szCs w:val="24"/>
        </w:rPr>
      </w:pPr>
      <w:r w:rsidRPr="00242F6D">
        <w:rPr>
          <w:rFonts w:ascii="Arial" w:hAnsi="Arial"/>
          <w:color w:val="000000"/>
          <w:sz w:val="24"/>
          <w:szCs w:val="24"/>
        </w:rPr>
        <w:t>Division of Earth Sciences</w:t>
      </w:r>
    </w:p>
    <w:p w:rsidR="001469FD" w:rsidRDefault="001469FD" w:rsidP="00E95BAA">
      <w:pPr>
        <w:jc w:val="center"/>
        <w:rPr>
          <w:rFonts w:ascii="Arial" w:hAnsi="Arial"/>
          <w:color w:val="000000"/>
          <w:sz w:val="24"/>
          <w:szCs w:val="24"/>
        </w:rPr>
      </w:pPr>
      <w:r>
        <w:rPr>
          <w:rFonts w:ascii="Arial" w:hAnsi="Arial"/>
          <w:color w:val="000000"/>
          <w:sz w:val="24"/>
          <w:szCs w:val="24"/>
        </w:rPr>
        <w:t>GEO Directorate</w:t>
      </w:r>
    </w:p>
    <w:p w:rsidR="00E95BAA" w:rsidRPr="00242F6D" w:rsidRDefault="00E95BAA" w:rsidP="00E95BAA">
      <w:pPr>
        <w:jc w:val="center"/>
        <w:rPr>
          <w:rFonts w:ascii="Arial" w:hAnsi="Arial"/>
          <w:color w:val="000000"/>
          <w:sz w:val="24"/>
          <w:szCs w:val="24"/>
        </w:rPr>
      </w:pPr>
      <w:r w:rsidRPr="00242F6D">
        <w:rPr>
          <w:rFonts w:ascii="Arial" w:hAnsi="Arial"/>
          <w:color w:val="000000"/>
          <w:sz w:val="24"/>
          <w:szCs w:val="24"/>
        </w:rPr>
        <w:t>National Science Foundation</w:t>
      </w:r>
    </w:p>
    <w:p w:rsidR="008671C7" w:rsidRDefault="008671C7" w:rsidP="0054752C">
      <w:pPr>
        <w:jc w:val="center"/>
        <w:rPr>
          <w:rFonts w:ascii="Arial" w:hAnsi="Arial"/>
          <w:color w:val="000000"/>
          <w:sz w:val="24"/>
          <w:szCs w:val="24"/>
        </w:rPr>
        <w:sectPr w:rsidR="008671C7">
          <w:type w:val="continuous"/>
          <w:pgSz w:w="12240" w:h="15840"/>
          <w:pgMar w:top="1440" w:right="1800" w:bottom="1152" w:left="1800" w:header="720" w:footer="720" w:gutter="0"/>
          <w:cols w:num="2" w:space="720"/>
          <w:titlePg/>
        </w:sectPr>
      </w:pPr>
    </w:p>
    <w:p w:rsidR="00E95BAA" w:rsidRPr="00242F6D" w:rsidRDefault="00E95BAA" w:rsidP="0054752C">
      <w:pPr>
        <w:jc w:val="center"/>
        <w:rPr>
          <w:rFonts w:ascii="Arial" w:hAnsi="Arial"/>
          <w:color w:val="000000"/>
          <w:sz w:val="24"/>
          <w:szCs w:val="24"/>
        </w:rPr>
      </w:pPr>
    </w:p>
    <w:p w:rsidR="00AE483F" w:rsidRPr="00935374" w:rsidRDefault="00AE483F" w:rsidP="00242F6D">
      <w:pPr>
        <w:pStyle w:val="BodyText3"/>
        <w:jc w:val="left"/>
        <w:rPr>
          <w:rFonts w:ascii="Arial" w:hAnsi="Arial" w:cs="Arial"/>
          <w:b/>
          <w:color w:val="000000"/>
          <w:sz w:val="22"/>
          <w:szCs w:val="24"/>
        </w:rPr>
      </w:pPr>
    </w:p>
    <w:p w:rsidR="00AE483F" w:rsidRPr="004E520F" w:rsidRDefault="00AE483F" w:rsidP="00AE483F">
      <w:pPr>
        <w:pStyle w:val="BodyText3"/>
        <w:ind w:left="1350" w:hanging="1350"/>
        <w:jc w:val="left"/>
        <w:rPr>
          <w:rFonts w:ascii="Arial" w:hAnsi="Arial" w:cs="Arial"/>
          <w:b/>
          <w:color w:val="0000FF"/>
          <w:sz w:val="22"/>
          <w:szCs w:val="24"/>
        </w:rPr>
      </w:pPr>
      <w:r w:rsidRPr="004E520F">
        <w:rPr>
          <w:rFonts w:ascii="Arial" w:hAnsi="Arial" w:cs="Arial"/>
          <w:b/>
          <w:color w:val="0000FF"/>
          <w:sz w:val="22"/>
          <w:szCs w:val="24"/>
        </w:rPr>
        <w:t>INTRODUCTION</w:t>
      </w:r>
      <w:r w:rsidR="007D1AC3" w:rsidRPr="004E520F">
        <w:rPr>
          <w:rFonts w:ascii="Arial" w:hAnsi="Arial" w:cs="Arial"/>
          <w:b/>
          <w:color w:val="0000FF"/>
          <w:sz w:val="22"/>
          <w:szCs w:val="24"/>
        </w:rPr>
        <w:t>:</w:t>
      </w:r>
    </w:p>
    <w:p w:rsidR="00AE483F" w:rsidRPr="004E520F" w:rsidRDefault="00AE483F" w:rsidP="00AE483F">
      <w:pPr>
        <w:pStyle w:val="BodyText3"/>
        <w:jc w:val="left"/>
        <w:rPr>
          <w:rFonts w:ascii="Arial" w:hAnsi="Arial" w:cs="Arial"/>
          <w:b/>
          <w:color w:val="0000FF"/>
          <w:sz w:val="22"/>
          <w:szCs w:val="24"/>
        </w:rPr>
      </w:pPr>
    </w:p>
    <w:p w:rsidR="00D018F4" w:rsidRPr="004E520F" w:rsidRDefault="00AE483F" w:rsidP="00D018F4">
      <w:pPr>
        <w:autoSpaceDE w:val="0"/>
        <w:autoSpaceDN w:val="0"/>
        <w:adjustRightInd w:val="0"/>
        <w:rPr>
          <w:rFonts w:ascii="Arial" w:hAnsi="Arial" w:cs="TimesNewRoman"/>
          <w:color w:val="0000FF"/>
          <w:szCs w:val="32"/>
        </w:rPr>
      </w:pPr>
      <w:r w:rsidRPr="004E520F">
        <w:rPr>
          <w:rFonts w:ascii="Arial" w:hAnsi="Arial" w:cs="Arial"/>
          <w:color w:val="0000FF"/>
          <w:szCs w:val="24"/>
        </w:rPr>
        <w:t xml:space="preserve">The Committee of Visitors (COV) for the </w:t>
      </w:r>
      <w:r w:rsidR="00D018F4" w:rsidRPr="004E520F">
        <w:rPr>
          <w:rFonts w:ascii="Arial" w:hAnsi="Arial" w:cs="Arial"/>
          <w:color w:val="0000FF"/>
          <w:szCs w:val="24"/>
        </w:rPr>
        <w:t xml:space="preserve">Surface Earth Processes Section (SEPS) visited the National Science Foundation </w:t>
      </w:r>
      <w:r w:rsidR="00D018F4" w:rsidRPr="004E520F">
        <w:rPr>
          <w:rFonts w:ascii="Arial" w:hAnsi="Arial" w:cs="TimesNewRoman"/>
          <w:color w:val="0000FF"/>
          <w:szCs w:val="32"/>
        </w:rPr>
        <w:t xml:space="preserve">from </w:t>
      </w:r>
      <w:r w:rsidRPr="004E520F">
        <w:rPr>
          <w:rFonts w:ascii="Arial" w:hAnsi="Arial" w:cs="Arial"/>
          <w:color w:val="0000FF"/>
          <w:szCs w:val="24"/>
        </w:rPr>
        <w:t xml:space="preserve">June </w:t>
      </w:r>
      <w:r w:rsidR="00630F9A" w:rsidRPr="004E520F">
        <w:rPr>
          <w:rFonts w:ascii="Arial" w:hAnsi="Arial" w:cs="Arial"/>
          <w:color w:val="0000FF"/>
          <w:szCs w:val="24"/>
        </w:rPr>
        <w:t>6</w:t>
      </w:r>
      <w:r w:rsidR="00D018F4" w:rsidRPr="004E520F">
        <w:rPr>
          <w:rFonts w:ascii="Arial" w:hAnsi="Arial" w:cs="Arial"/>
          <w:color w:val="0000FF"/>
          <w:szCs w:val="24"/>
        </w:rPr>
        <w:t xml:space="preserve"> to </w:t>
      </w:r>
      <w:r w:rsidR="00630F9A" w:rsidRPr="004E520F">
        <w:rPr>
          <w:rFonts w:ascii="Arial" w:hAnsi="Arial" w:cs="Arial"/>
          <w:color w:val="0000FF"/>
          <w:szCs w:val="24"/>
        </w:rPr>
        <w:t>8</w:t>
      </w:r>
      <w:r w:rsidR="00D018F4" w:rsidRPr="004E520F">
        <w:rPr>
          <w:rFonts w:ascii="Arial" w:hAnsi="Arial" w:cs="Arial"/>
          <w:color w:val="0000FF"/>
          <w:szCs w:val="24"/>
        </w:rPr>
        <w:t>,</w:t>
      </w:r>
      <w:r w:rsidRPr="004E520F">
        <w:rPr>
          <w:rFonts w:ascii="Arial" w:hAnsi="Arial" w:cs="Arial"/>
          <w:color w:val="0000FF"/>
          <w:szCs w:val="24"/>
        </w:rPr>
        <w:t xml:space="preserve"> 20</w:t>
      </w:r>
      <w:r w:rsidR="00524FF9" w:rsidRPr="004E520F">
        <w:rPr>
          <w:rFonts w:ascii="Arial" w:hAnsi="Arial" w:cs="Arial"/>
          <w:color w:val="0000FF"/>
          <w:szCs w:val="24"/>
        </w:rPr>
        <w:t>11</w:t>
      </w:r>
      <w:r w:rsidR="00D018F4" w:rsidRPr="004E520F">
        <w:rPr>
          <w:rFonts w:ascii="Arial" w:hAnsi="Arial" w:cs="Arial"/>
          <w:color w:val="0000FF"/>
          <w:szCs w:val="24"/>
        </w:rPr>
        <w:t xml:space="preserve">.  </w:t>
      </w:r>
      <w:r w:rsidR="007B2670" w:rsidRPr="004E520F">
        <w:rPr>
          <w:rFonts w:ascii="Arial" w:hAnsi="Arial" w:cs="Arial"/>
          <w:color w:val="0000FF"/>
          <w:szCs w:val="24"/>
        </w:rPr>
        <w:t xml:space="preserve">This is the third COV of the Section since the Division of Earth Sciences (EAR) was reorganized into the Surface Earth Processes </w:t>
      </w:r>
      <w:r w:rsidR="008507B6" w:rsidRPr="004E520F">
        <w:rPr>
          <w:rFonts w:ascii="Arial" w:hAnsi="Arial" w:cs="Arial"/>
          <w:color w:val="0000FF"/>
          <w:szCs w:val="24"/>
        </w:rPr>
        <w:t xml:space="preserve">and Deep Earth Processes </w:t>
      </w:r>
      <w:r w:rsidR="007B2670" w:rsidRPr="004E520F">
        <w:rPr>
          <w:rFonts w:ascii="Arial" w:hAnsi="Arial" w:cs="Arial"/>
          <w:color w:val="0000FF"/>
          <w:szCs w:val="24"/>
        </w:rPr>
        <w:t xml:space="preserve">Sections in 2004.  The reorganization of EAR was </w:t>
      </w:r>
      <w:r w:rsidR="00400072" w:rsidRPr="004E520F">
        <w:rPr>
          <w:rFonts w:ascii="Arial" w:hAnsi="Arial" w:cs="Arial"/>
          <w:color w:val="0000FF"/>
          <w:szCs w:val="24"/>
        </w:rPr>
        <w:t>driven</w:t>
      </w:r>
      <w:r w:rsidR="007B2670" w:rsidRPr="004E520F">
        <w:rPr>
          <w:rFonts w:ascii="Arial" w:hAnsi="Arial" w:cs="Arial"/>
          <w:color w:val="0000FF"/>
          <w:szCs w:val="24"/>
        </w:rPr>
        <w:t xml:space="preserve"> by the emerg</w:t>
      </w:r>
      <w:r w:rsidR="00D24261" w:rsidRPr="004E520F">
        <w:rPr>
          <w:rFonts w:ascii="Arial" w:hAnsi="Arial" w:cs="Arial"/>
          <w:color w:val="0000FF"/>
          <w:szCs w:val="24"/>
        </w:rPr>
        <w:t xml:space="preserve">ence of several sub-disciplines </w:t>
      </w:r>
      <w:r w:rsidR="007B2670" w:rsidRPr="004E520F">
        <w:rPr>
          <w:rFonts w:ascii="Arial" w:hAnsi="Arial" w:cs="Arial"/>
          <w:color w:val="0000FF"/>
          <w:szCs w:val="24"/>
        </w:rPr>
        <w:t xml:space="preserve">in surface Earth processes, as </w:t>
      </w:r>
      <w:r w:rsidR="00D24261" w:rsidRPr="004E520F">
        <w:rPr>
          <w:rFonts w:ascii="Arial" w:hAnsi="Arial" w:cs="Arial"/>
          <w:color w:val="0000FF"/>
          <w:szCs w:val="24"/>
        </w:rPr>
        <w:t xml:space="preserve">initially </w:t>
      </w:r>
      <w:r w:rsidR="007B2670" w:rsidRPr="004E520F">
        <w:rPr>
          <w:rFonts w:ascii="Arial" w:hAnsi="Arial" w:cs="Arial"/>
          <w:color w:val="0000FF"/>
          <w:szCs w:val="24"/>
        </w:rPr>
        <w:t>recognized by the Basic Research Opportunities in Earth Sciences (BROES</w:t>
      </w:r>
      <w:r w:rsidR="003408F0" w:rsidRPr="004E520F">
        <w:rPr>
          <w:rFonts w:ascii="Arial" w:hAnsi="Arial" w:cs="Arial"/>
          <w:color w:val="0000FF"/>
          <w:szCs w:val="24"/>
        </w:rPr>
        <w:t xml:space="preserve">) Report in 2001.  The prudence of this reorganization </w:t>
      </w:r>
      <w:r w:rsidR="00F46EBD" w:rsidRPr="004E520F">
        <w:rPr>
          <w:rFonts w:ascii="Arial" w:hAnsi="Arial" w:cs="Arial"/>
          <w:color w:val="0000FF"/>
          <w:szCs w:val="24"/>
        </w:rPr>
        <w:t xml:space="preserve">is evident today, from the </w:t>
      </w:r>
      <w:r w:rsidR="00400072" w:rsidRPr="004E520F">
        <w:rPr>
          <w:rFonts w:ascii="Arial" w:hAnsi="Arial" w:cs="Arial"/>
          <w:color w:val="0000FF"/>
          <w:szCs w:val="24"/>
        </w:rPr>
        <w:t xml:space="preserve">summary of the </w:t>
      </w:r>
      <w:r w:rsidR="008D361E" w:rsidRPr="004E520F">
        <w:rPr>
          <w:rFonts w:ascii="Arial" w:hAnsi="Arial" w:cs="Arial"/>
          <w:color w:val="0000FF"/>
          <w:szCs w:val="24"/>
        </w:rPr>
        <w:t>“</w:t>
      </w:r>
      <w:r w:rsidR="008D361E" w:rsidRPr="004E520F">
        <w:rPr>
          <w:rFonts w:ascii="Arial" w:hAnsi="Arial" w:cs="Arial"/>
          <w:b/>
          <w:i/>
          <w:color w:val="0000FF"/>
          <w:szCs w:val="24"/>
        </w:rPr>
        <w:t>Status of the Geoscience Workforce 2011</w:t>
      </w:r>
      <w:r w:rsidR="008D361E" w:rsidRPr="004E520F">
        <w:rPr>
          <w:rFonts w:ascii="Arial" w:hAnsi="Arial" w:cs="Arial"/>
          <w:color w:val="0000FF"/>
          <w:szCs w:val="24"/>
        </w:rPr>
        <w:t xml:space="preserve">” published recently by the </w:t>
      </w:r>
      <w:r w:rsidR="00F46EBD" w:rsidRPr="004E520F">
        <w:rPr>
          <w:rFonts w:ascii="Arial" w:hAnsi="Arial" w:cs="Arial"/>
          <w:color w:val="0000FF"/>
          <w:szCs w:val="24"/>
        </w:rPr>
        <w:t xml:space="preserve">American Geological Institute </w:t>
      </w:r>
      <w:r w:rsidR="002A4A6D" w:rsidRPr="004E520F">
        <w:rPr>
          <w:rFonts w:ascii="Arial" w:hAnsi="Arial" w:cs="Arial"/>
          <w:color w:val="0000FF"/>
          <w:szCs w:val="24"/>
        </w:rPr>
        <w:t xml:space="preserve">(June 20, 2011), </w:t>
      </w:r>
      <w:r w:rsidR="008D361E" w:rsidRPr="004E520F">
        <w:rPr>
          <w:rFonts w:ascii="Arial" w:hAnsi="Arial" w:cs="Arial"/>
          <w:color w:val="0000FF"/>
          <w:szCs w:val="24"/>
        </w:rPr>
        <w:t>the spate of SEP-relevant major initiatives within the GEO Directorate and the entire NSF (e.g., C</w:t>
      </w:r>
      <w:r w:rsidR="00400072" w:rsidRPr="004E520F">
        <w:rPr>
          <w:rFonts w:ascii="Arial" w:hAnsi="Arial" w:cs="Arial"/>
          <w:color w:val="0000FF"/>
          <w:szCs w:val="24"/>
        </w:rPr>
        <w:t xml:space="preserve">ritical Zone Observatory, </w:t>
      </w:r>
      <w:r w:rsidR="008D361E" w:rsidRPr="004E520F">
        <w:rPr>
          <w:rFonts w:ascii="Arial" w:hAnsi="Arial" w:cs="Arial"/>
          <w:color w:val="0000FF"/>
          <w:szCs w:val="24"/>
        </w:rPr>
        <w:t>C</w:t>
      </w:r>
      <w:r w:rsidR="00400072" w:rsidRPr="004E520F">
        <w:rPr>
          <w:rFonts w:ascii="Arial" w:hAnsi="Arial" w:cs="Arial"/>
          <w:color w:val="0000FF"/>
          <w:szCs w:val="24"/>
        </w:rPr>
        <w:t>limate Research Initiative</w:t>
      </w:r>
      <w:r w:rsidR="008D361E" w:rsidRPr="004E520F">
        <w:rPr>
          <w:rFonts w:ascii="Arial" w:hAnsi="Arial" w:cs="Arial"/>
          <w:color w:val="0000FF"/>
          <w:szCs w:val="24"/>
        </w:rPr>
        <w:t>,</w:t>
      </w:r>
      <w:r w:rsidR="00400072" w:rsidRPr="004E520F">
        <w:rPr>
          <w:rFonts w:ascii="Arial" w:hAnsi="Arial" w:cs="Arial"/>
          <w:color w:val="0000FF"/>
          <w:szCs w:val="24"/>
        </w:rPr>
        <w:t xml:space="preserve"> and the</w:t>
      </w:r>
      <w:r w:rsidR="008D361E" w:rsidRPr="004E520F">
        <w:rPr>
          <w:rFonts w:ascii="Arial" w:hAnsi="Arial" w:cs="Arial"/>
          <w:color w:val="0000FF"/>
          <w:szCs w:val="24"/>
        </w:rPr>
        <w:t xml:space="preserve"> S</w:t>
      </w:r>
      <w:r w:rsidR="00400072" w:rsidRPr="004E520F">
        <w:rPr>
          <w:rFonts w:ascii="Arial" w:hAnsi="Arial" w:cs="Arial"/>
          <w:color w:val="0000FF"/>
          <w:szCs w:val="24"/>
        </w:rPr>
        <w:t xml:space="preserve">cience </w:t>
      </w:r>
      <w:r w:rsidR="008D361E" w:rsidRPr="004E520F">
        <w:rPr>
          <w:rFonts w:ascii="Arial" w:hAnsi="Arial" w:cs="Arial"/>
          <w:color w:val="0000FF"/>
          <w:szCs w:val="24"/>
        </w:rPr>
        <w:t>E</w:t>
      </w:r>
      <w:r w:rsidR="00400072" w:rsidRPr="004E520F">
        <w:rPr>
          <w:rFonts w:ascii="Arial" w:hAnsi="Arial" w:cs="Arial"/>
          <w:color w:val="0000FF"/>
          <w:szCs w:val="24"/>
        </w:rPr>
        <w:t>ngineering and Education for Sustainability Program</w:t>
      </w:r>
      <w:r w:rsidR="008D361E" w:rsidRPr="004E520F">
        <w:rPr>
          <w:rFonts w:ascii="Arial" w:hAnsi="Arial" w:cs="Arial"/>
          <w:color w:val="0000FF"/>
          <w:szCs w:val="24"/>
        </w:rPr>
        <w:t>)</w:t>
      </w:r>
      <w:r w:rsidR="002A4A6D" w:rsidRPr="004E520F">
        <w:rPr>
          <w:rFonts w:ascii="Arial" w:hAnsi="Arial" w:cs="Arial"/>
          <w:color w:val="0000FF"/>
          <w:szCs w:val="24"/>
        </w:rPr>
        <w:t>,</w:t>
      </w:r>
      <w:r w:rsidR="003408F0" w:rsidRPr="004E520F">
        <w:rPr>
          <w:rFonts w:ascii="Arial" w:hAnsi="Arial" w:cs="Arial"/>
          <w:color w:val="0000FF"/>
          <w:szCs w:val="24"/>
        </w:rPr>
        <w:t xml:space="preserve"> </w:t>
      </w:r>
      <w:r w:rsidR="00400072" w:rsidRPr="004E520F">
        <w:rPr>
          <w:rFonts w:ascii="Arial" w:hAnsi="Arial" w:cs="Arial"/>
          <w:color w:val="0000FF"/>
          <w:szCs w:val="24"/>
        </w:rPr>
        <w:t xml:space="preserve">and the prognosis </w:t>
      </w:r>
      <w:r w:rsidR="008D361E" w:rsidRPr="004E520F">
        <w:rPr>
          <w:rFonts w:ascii="Arial" w:hAnsi="Arial" w:cs="Arial"/>
          <w:color w:val="0000FF"/>
          <w:szCs w:val="24"/>
        </w:rPr>
        <w:t xml:space="preserve">offered by the GEOVISION (2009).  </w:t>
      </w:r>
      <w:r w:rsidR="00D24261" w:rsidRPr="004E520F">
        <w:rPr>
          <w:rFonts w:ascii="Arial" w:hAnsi="Arial" w:cs="Arial"/>
          <w:color w:val="0000FF"/>
          <w:szCs w:val="24"/>
        </w:rPr>
        <w:t xml:space="preserve"> S</w:t>
      </w:r>
      <w:r w:rsidR="004065F2" w:rsidRPr="004E520F">
        <w:rPr>
          <w:rFonts w:ascii="Arial" w:hAnsi="Arial" w:cs="Arial"/>
          <w:color w:val="0000FF"/>
          <w:szCs w:val="24"/>
        </w:rPr>
        <w:t>ociety expects the science community to deliver science that not only transforms our understanding but also informs critical societal decisions on the planet’s future.  Th</w:t>
      </w:r>
      <w:r w:rsidR="00400072" w:rsidRPr="004E520F">
        <w:rPr>
          <w:rFonts w:ascii="Arial" w:hAnsi="Arial" w:cs="Arial"/>
          <w:color w:val="0000FF"/>
          <w:szCs w:val="24"/>
        </w:rPr>
        <w:t xml:space="preserve">ese are </w:t>
      </w:r>
      <w:r w:rsidR="004065F2" w:rsidRPr="004E520F">
        <w:rPr>
          <w:rFonts w:ascii="Arial" w:hAnsi="Arial" w:cs="Arial"/>
          <w:color w:val="0000FF"/>
          <w:szCs w:val="24"/>
        </w:rPr>
        <w:t>the compelling context of the present COV evalu</w:t>
      </w:r>
      <w:r w:rsidR="00400072" w:rsidRPr="004E520F">
        <w:rPr>
          <w:rFonts w:ascii="Arial" w:hAnsi="Arial" w:cs="Arial"/>
          <w:color w:val="0000FF"/>
          <w:szCs w:val="24"/>
        </w:rPr>
        <w:t xml:space="preserve">ation: </w:t>
      </w:r>
      <w:r w:rsidR="004065F2" w:rsidRPr="004E520F">
        <w:rPr>
          <w:rFonts w:ascii="Arial" w:hAnsi="Arial" w:cs="Arial"/>
          <w:color w:val="0000FF"/>
          <w:szCs w:val="24"/>
        </w:rPr>
        <w:t xml:space="preserve">are effective mechanisms in place to efficiently channel the needed resources to </w:t>
      </w:r>
      <w:r w:rsidR="00694824">
        <w:rPr>
          <w:rFonts w:ascii="Arial" w:hAnsi="Arial" w:cs="Arial"/>
          <w:color w:val="0000FF"/>
          <w:szCs w:val="24"/>
        </w:rPr>
        <w:t>research</w:t>
      </w:r>
      <w:r w:rsidR="004065F2" w:rsidRPr="004E520F">
        <w:rPr>
          <w:rFonts w:ascii="Arial" w:hAnsi="Arial" w:cs="Arial"/>
          <w:color w:val="0000FF"/>
          <w:szCs w:val="24"/>
        </w:rPr>
        <w:t xml:space="preserve"> that</w:t>
      </w:r>
      <w:r w:rsidR="00D24261" w:rsidRPr="004E520F">
        <w:rPr>
          <w:rFonts w:ascii="Arial" w:hAnsi="Arial" w:cs="Arial"/>
          <w:color w:val="0000FF"/>
          <w:szCs w:val="24"/>
        </w:rPr>
        <w:t xml:space="preserve"> concurrently</w:t>
      </w:r>
      <w:r w:rsidR="004065F2" w:rsidRPr="004E520F">
        <w:rPr>
          <w:rFonts w:ascii="Arial" w:hAnsi="Arial" w:cs="Arial"/>
          <w:color w:val="0000FF"/>
          <w:szCs w:val="24"/>
        </w:rPr>
        <w:t xml:space="preserve"> transforms </w:t>
      </w:r>
      <w:r w:rsidR="00D24261" w:rsidRPr="004E520F">
        <w:rPr>
          <w:rFonts w:ascii="Arial" w:hAnsi="Arial" w:cs="Arial"/>
          <w:color w:val="0000FF"/>
          <w:szCs w:val="24"/>
        </w:rPr>
        <w:t xml:space="preserve">science </w:t>
      </w:r>
      <w:r w:rsidR="004065F2" w:rsidRPr="004E520F">
        <w:rPr>
          <w:rFonts w:ascii="Arial" w:hAnsi="Arial" w:cs="Arial"/>
          <w:color w:val="0000FF"/>
          <w:szCs w:val="24"/>
        </w:rPr>
        <w:t>and informs</w:t>
      </w:r>
      <w:r w:rsidR="00D24261" w:rsidRPr="004E520F">
        <w:rPr>
          <w:rFonts w:ascii="Arial" w:hAnsi="Arial" w:cs="Arial"/>
          <w:color w:val="0000FF"/>
          <w:szCs w:val="24"/>
        </w:rPr>
        <w:t xml:space="preserve"> societal decisions</w:t>
      </w:r>
      <w:r w:rsidR="004065F2" w:rsidRPr="004E520F">
        <w:rPr>
          <w:rFonts w:ascii="Arial" w:hAnsi="Arial" w:cs="Arial"/>
          <w:color w:val="0000FF"/>
          <w:szCs w:val="24"/>
        </w:rPr>
        <w:t xml:space="preserve">? </w:t>
      </w:r>
    </w:p>
    <w:p w:rsidR="00D018F4" w:rsidRPr="004E520F" w:rsidRDefault="00D018F4" w:rsidP="00D018F4">
      <w:pPr>
        <w:autoSpaceDE w:val="0"/>
        <w:autoSpaceDN w:val="0"/>
        <w:adjustRightInd w:val="0"/>
        <w:rPr>
          <w:rFonts w:ascii="Arial" w:hAnsi="Arial" w:cs="TimesNewRoman"/>
          <w:color w:val="0000FF"/>
          <w:szCs w:val="32"/>
        </w:rPr>
      </w:pPr>
    </w:p>
    <w:p w:rsidR="004065F2" w:rsidRPr="004E520F" w:rsidRDefault="00D018F4" w:rsidP="008750D9">
      <w:pPr>
        <w:rPr>
          <w:rFonts w:ascii="Arial" w:hAnsi="Arial" w:cs="TimesNewRoman"/>
          <w:color w:val="0000FF"/>
          <w:szCs w:val="32"/>
        </w:rPr>
      </w:pPr>
      <w:r w:rsidRPr="004E520F">
        <w:rPr>
          <w:rFonts w:ascii="Arial" w:hAnsi="Arial" w:cs="TimesNewRoman"/>
          <w:color w:val="0000FF"/>
          <w:szCs w:val="32"/>
        </w:rPr>
        <w:t xml:space="preserve">We </w:t>
      </w:r>
      <w:r w:rsidR="008D361E" w:rsidRPr="004E520F">
        <w:rPr>
          <w:rFonts w:ascii="Arial" w:hAnsi="Arial" w:cs="TimesNewRoman"/>
          <w:color w:val="0000FF"/>
          <w:szCs w:val="32"/>
        </w:rPr>
        <w:t>sincerely appreciate</w:t>
      </w:r>
      <w:r w:rsidRPr="004E520F">
        <w:rPr>
          <w:rFonts w:ascii="Arial" w:hAnsi="Arial" w:cs="TimesNewRoman"/>
          <w:color w:val="0000FF"/>
          <w:szCs w:val="32"/>
        </w:rPr>
        <w:t xml:space="preserve"> the </w:t>
      </w:r>
      <w:r w:rsidR="00630F9A" w:rsidRPr="004E520F">
        <w:rPr>
          <w:rFonts w:ascii="Arial" w:hAnsi="Arial" w:cs="TimesNewRoman"/>
          <w:color w:val="0000FF"/>
          <w:szCs w:val="32"/>
        </w:rPr>
        <w:t>effort, observations</w:t>
      </w:r>
      <w:r w:rsidR="008D361E" w:rsidRPr="004E520F">
        <w:rPr>
          <w:rFonts w:ascii="Arial" w:hAnsi="Arial" w:cs="TimesNewRoman"/>
          <w:color w:val="0000FF"/>
          <w:szCs w:val="32"/>
        </w:rPr>
        <w:t xml:space="preserve">, evaluation and recommendations offered by Hornberger et al. in </w:t>
      </w:r>
      <w:r w:rsidR="004065F2" w:rsidRPr="004E520F">
        <w:rPr>
          <w:rFonts w:ascii="Arial" w:hAnsi="Arial" w:cs="TimesNewRoman"/>
          <w:color w:val="0000FF"/>
          <w:szCs w:val="32"/>
        </w:rPr>
        <w:t>their</w:t>
      </w:r>
      <w:r w:rsidR="008D361E" w:rsidRPr="004E520F">
        <w:rPr>
          <w:rFonts w:ascii="Arial" w:hAnsi="Arial" w:cs="TimesNewRoman"/>
          <w:color w:val="0000FF"/>
          <w:szCs w:val="32"/>
        </w:rPr>
        <w:t xml:space="preserve"> Final COV Report.   </w:t>
      </w:r>
    </w:p>
    <w:p w:rsidR="004065F2" w:rsidRDefault="004065F2" w:rsidP="008750D9">
      <w:pPr>
        <w:rPr>
          <w:rFonts w:ascii="Arial" w:hAnsi="Arial" w:cs="TimesNewRoman"/>
          <w:color w:val="000000"/>
          <w:szCs w:val="32"/>
        </w:rPr>
      </w:pPr>
    </w:p>
    <w:p w:rsidR="009105F1" w:rsidRPr="009105F1" w:rsidRDefault="00191265" w:rsidP="00191265">
      <w:pPr>
        <w:rPr>
          <w:rFonts w:ascii="Arial" w:hAnsi="Arial" w:cs="TimesNewRoman"/>
          <w:color w:val="000000"/>
          <w:szCs w:val="32"/>
        </w:rPr>
      </w:pPr>
      <w:r>
        <w:rPr>
          <w:rFonts w:ascii="Arial" w:hAnsi="Arial" w:cs="TimesNewRoman"/>
          <w:color w:val="000000"/>
          <w:szCs w:val="32"/>
        </w:rPr>
        <w:t>BROAD SECTION-WIDE ISSUES:</w:t>
      </w:r>
    </w:p>
    <w:p w:rsidR="00191265" w:rsidRPr="00191265" w:rsidRDefault="00191265" w:rsidP="00191265">
      <w:pPr>
        <w:rPr>
          <w:rFonts w:ascii="Arial" w:hAnsi="Arial" w:cs="Arial"/>
          <w:color w:val="000000"/>
          <w:szCs w:val="32"/>
        </w:rPr>
      </w:pPr>
    </w:p>
    <w:p w:rsidR="00191265" w:rsidRDefault="009105F1" w:rsidP="00191265">
      <w:pPr>
        <w:numPr>
          <w:ilvl w:val="0"/>
          <w:numId w:val="32"/>
        </w:numPr>
        <w:suppressAutoHyphens/>
        <w:ind w:left="540" w:hanging="270"/>
        <w:rPr>
          <w:rFonts w:ascii="Arial" w:hAnsi="Arial" w:cs="Arial"/>
        </w:rPr>
      </w:pPr>
      <w:r>
        <w:rPr>
          <w:rFonts w:ascii="Arial" w:hAnsi="Arial" w:cs="Arial"/>
        </w:rPr>
        <w:t xml:space="preserve"> </w:t>
      </w:r>
      <w:r w:rsidR="00191265" w:rsidRPr="00191265">
        <w:rPr>
          <w:rFonts w:ascii="Arial" w:hAnsi="Arial" w:cs="Arial"/>
        </w:rPr>
        <w:t>We recommend that NSF continue to find ways to deal with the workload problem.</w:t>
      </w:r>
    </w:p>
    <w:p w:rsidR="009105F1" w:rsidRDefault="009105F1" w:rsidP="009105F1">
      <w:pPr>
        <w:suppressAutoHyphens/>
        <w:ind w:left="540"/>
        <w:rPr>
          <w:rFonts w:ascii="Arial" w:hAnsi="Arial" w:cs="Arial"/>
        </w:rPr>
      </w:pPr>
    </w:p>
    <w:p w:rsidR="009105F1" w:rsidRPr="004E520F" w:rsidRDefault="00595A3C" w:rsidP="009105F1">
      <w:pPr>
        <w:suppressAutoHyphens/>
        <w:ind w:left="540"/>
        <w:rPr>
          <w:rFonts w:ascii="Arial" w:hAnsi="Arial" w:cs="Arial"/>
          <w:color w:val="0000FF"/>
        </w:rPr>
      </w:pPr>
      <w:r w:rsidRPr="004E520F">
        <w:rPr>
          <w:rFonts w:ascii="Arial" w:hAnsi="Arial" w:cs="Arial"/>
          <w:color w:val="0000FF"/>
        </w:rPr>
        <w:t xml:space="preserve">EAR </w:t>
      </w:r>
      <w:r w:rsidR="009105F1" w:rsidRPr="004E520F">
        <w:rPr>
          <w:rFonts w:ascii="Arial" w:hAnsi="Arial" w:cs="Arial"/>
          <w:color w:val="0000FF"/>
        </w:rPr>
        <w:t>continues to address workload issues within SEP.  The 2</w:t>
      </w:r>
      <w:r w:rsidR="009105F1" w:rsidRPr="004E520F">
        <w:rPr>
          <w:rFonts w:ascii="Arial" w:hAnsi="Arial" w:cs="Arial"/>
          <w:color w:val="0000FF"/>
          <w:vertAlign w:val="superscript"/>
        </w:rPr>
        <w:t>nd</w:t>
      </w:r>
      <w:r w:rsidR="009105F1" w:rsidRPr="004E520F">
        <w:rPr>
          <w:rFonts w:ascii="Arial" w:hAnsi="Arial" w:cs="Arial"/>
          <w:color w:val="0000FF"/>
        </w:rPr>
        <w:t xml:space="preserve"> </w:t>
      </w:r>
      <w:r w:rsidR="00AD110A">
        <w:rPr>
          <w:rFonts w:ascii="Arial" w:hAnsi="Arial" w:cs="Arial"/>
          <w:color w:val="0000FF"/>
        </w:rPr>
        <w:t>Program Officer</w:t>
      </w:r>
      <w:r w:rsidR="007C618F">
        <w:rPr>
          <w:rFonts w:ascii="Arial" w:hAnsi="Arial" w:cs="Arial"/>
          <w:color w:val="0000FF"/>
        </w:rPr>
        <w:t>s</w:t>
      </w:r>
      <w:r w:rsidR="00DB5E30" w:rsidRPr="004E520F">
        <w:rPr>
          <w:rFonts w:ascii="Arial" w:hAnsi="Arial" w:cs="Arial"/>
          <w:color w:val="0000FF"/>
        </w:rPr>
        <w:t xml:space="preserve"> (PO)</w:t>
      </w:r>
      <w:r w:rsidR="009105F1" w:rsidRPr="004E520F">
        <w:rPr>
          <w:rFonts w:ascii="Arial" w:hAnsi="Arial" w:cs="Arial"/>
          <w:color w:val="0000FF"/>
        </w:rPr>
        <w:t xml:space="preserve"> in SGP and GG </w:t>
      </w:r>
      <w:r w:rsidRPr="004E520F">
        <w:rPr>
          <w:rFonts w:ascii="Arial" w:hAnsi="Arial" w:cs="Arial"/>
          <w:color w:val="0000FF"/>
        </w:rPr>
        <w:t xml:space="preserve">were secured within the last five years, although new PO additions have not kept up with the increasing proposal workload.  The EAR </w:t>
      </w:r>
      <w:r w:rsidRPr="004E520F">
        <w:rPr>
          <w:rFonts w:ascii="Arial" w:hAnsi="Arial" w:cs="Arial"/>
          <w:color w:val="0000FF"/>
        </w:rPr>
        <w:lastRenderedPageBreak/>
        <w:t>Division Director has already identified the 3</w:t>
      </w:r>
      <w:r w:rsidRPr="004E520F">
        <w:rPr>
          <w:rFonts w:ascii="Arial" w:hAnsi="Arial" w:cs="Arial"/>
          <w:color w:val="0000FF"/>
          <w:vertAlign w:val="superscript"/>
        </w:rPr>
        <w:t>rd</w:t>
      </w:r>
      <w:r w:rsidRPr="004E520F">
        <w:rPr>
          <w:rFonts w:ascii="Arial" w:hAnsi="Arial" w:cs="Arial"/>
          <w:color w:val="0000FF"/>
        </w:rPr>
        <w:t xml:space="preserve"> HS </w:t>
      </w:r>
      <w:r w:rsidR="00AD110A">
        <w:rPr>
          <w:rFonts w:ascii="Arial" w:hAnsi="Arial" w:cs="Arial"/>
          <w:color w:val="0000FF"/>
        </w:rPr>
        <w:t>Program Officer</w:t>
      </w:r>
      <w:r w:rsidRPr="004E520F">
        <w:rPr>
          <w:rFonts w:ascii="Arial" w:hAnsi="Arial" w:cs="Arial"/>
          <w:color w:val="0000FF"/>
        </w:rPr>
        <w:t xml:space="preserve"> position as the Division’s highest FTE priority.  HS will shortly be provided part-time help by the GEO front office to a level approximating 0.75 FTE. </w:t>
      </w:r>
    </w:p>
    <w:p w:rsidR="009105F1" w:rsidRDefault="009105F1" w:rsidP="009105F1">
      <w:pPr>
        <w:suppressAutoHyphens/>
        <w:ind w:left="540"/>
        <w:rPr>
          <w:rFonts w:ascii="Arial" w:hAnsi="Arial" w:cs="Arial"/>
        </w:rPr>
      </w:pPr>
    </w:p>
    <w:p w:rsidR="00EE4B3B" w:rsidRPr="00EE4B3B" w:rsidRDefault="00EE4B3B" w:rsidP="009105F1">
      <w:pPr>
        <w:suppressAutoHyphens/>
        <w:ind w:left="540"/>
        <w:rPr>
          <w:rFonts w:ascii="Arial" w:hAnsi="Arial" w:cs="Arial"/>
          <w:color w:val="00B050"/>
        </w:rPr>
      </w:pPr>
      <w:r>
        <w:rPr>
          <w:rFonts w:ascii="Arial" w:hAnsi="Arial" w:cs="Arial"/>
          <w:color w:val="00B050"/>
        </w:rPr>
        <w:t>2012 U</w:t>
      </w:r>
      <w:r w:rsidRPr="00EE4B3B">
        <w:rPr>
          <w:rFonts w:ascii="Arial" w:hAnsi="Arial" w:cs="Arial"/>
          <w:color w:val="00B050"/>
        </w:rPr>
        <w:t xml:space="preserve">pdate: </w:t>
      </w:r>
      <w:r>
        <w:rPr>
          <w:rFonts w:ascii="Arial" w:hAnsi="Arial" w:cs="Arial"/>
          <w:color w:val="00B050"/>
        </w:rPr>
        <w:t>Two new IPA program officers, Shemin Ge and Ni-Bin Chang, have been hired for the HS program. Program Director Jessica Robin</w:t>
      </w:r>
      <w:r w:rsidR="004E29D3">
        <w:rPr>
          <w:rFonts w:ascii="Arial" w:hAnsi="Arial" w:cs="Arial"/>
          <w:color w:val="00B050"/>
        </w:rPr>
        <w:t xml:space="preserve"> has been transferred</w:t>
      </w:r>
      <w:r>
        <w:rPr>
          <w:rFonts w:ascii="Arial" w:hAnsi="Arial" w:cs="Arial"/>
          <w:color w:val="00B050"/>
        </w:rPr>
        <w:t xml:space="preserve"> from OISE </w:t>
      </w:r>
      <w:r w:rsidR="004E29D3">
        <w:rPr>
          <w:rFonts w:ascii="Arial" w:hAnsi="Arial" w:cs="Arial"/>
          <w:color w:val="00B050"/>
        </w:rPr>
        <w:t>to work in SEP</w:t>
      </w:r>
      <w:r w:rsidR="009B5407">
        <w:rPr>
          <w:rFonts w:ascii="Arial" w:hAnsi="Arial" w:cs="Arial"/>
          <w:color w:val="00B050"/>
        </w:rPr>
        <w:t>. Jessica will continue to be the coordinator of the SEES Integrating Group and will provide assistance to the GLD program</w:t>
      </w:r>
      <w:r>
        <w:rPr>
          <w:rFonts w:ascii="Arial" w:hAnsi="Arial" w:cs="Arial"/>
          <w:color w:val="00B050"/>
        </w:rPr>
        <w:t>.</w:t>
      </w:r>
    </w:p>
    <w:p w:rsidR="00EE4B3B" w:rsidRPr="00191265" w:rsidRDefault="00EE4B3B" w:rsidP="009105F1">
      <w:pPr>
        <w:suppressAutoHyphens/>
        <w:ind w:left="540"/>
        <w:rPr>
          <w:rFonts w:ascii="Arial" w:hAnsi="Arial" w:cs="Arial"/>
        </w:rPr>
      </w:pPr>
    </w:p>
    <w:p w:rsidR="00191265" w:rsidRDefault="00191265" w:rsidP="00191265">
      <w:pPr>
        <w:numPr>
          <w:ilvl w:val="0"/>
          <w:numId w:val="32"/>
        </w:numPr>
        <w:suppressAutoHyphens/>
        <w:ind w:left="540" w:hanging="270"/>
        <w:rPr>
          <w:rFonts w:ascii="Arial" w:hAnsi="Arial" w:cs="Arial"/>
        </w:rPr>
      </w:pPr>
      <w:r w:rsidRPr="00191265">
        <w:rPr>
          <w:rFonts w:ascii="Arial" w:hAnsi="Arial" w:cs="Arial"/>
        </w:rPr>
        <w:t xml:space="preserve">The ad hoc mail review plus panel review </w:t>
      </w:r>
      <w:r w:rsidR="00E7343A">
        <w:rPr>
          <w:rFonts w:ascii="Arial" w:hAnsi="Arial" w:cs="Arial"/>
        </w:rPr>
        <w:t>system</w:t>
      </w:r>
      <w:r w:rsidRPr="00191265">
        <w:rPr>
          <w:rFonts w:ascii="Arial" w:hAnsi="Arial" w:cs="Arial"/>
        </w:rPr>
        <w:t xml:space="preserve"> works well and we recommend that it be continued. Furthermore, we think that having two calls for proposals per year is important, especially for early-career investigators and those new to the NSF world, and we recommend that this practice be continued.</w:t>
      </w:r>
    </w:p>
    <w:p w:rsidR="00E7343A" w:rsidRDefault="00E7343A" w:rsidP="00E7343A">
      <w:pPr>
        <w:suppressAutoHyphens/>
        <w:ind w:left="540"/>
        <w:rPr>
          <w:rFonts w:ascii="Arial" w:hAnsi="Arial" w:cs="Arial"/>
        </w:rPr>
      </w:pPr>
    </w:p>
    <w:p w:rsidR="00E7343A" w:rsidRDefault="00E7343A" w:rsidP="00E7343A">
      <w:pPr>
        <w:suppressAutoHyphens/>
        <w:ind w:left="540"/>
        <w:rPr>
          <w:rFonts w:ascii="Arial" w:hAnsi="Arial" w:cs="Arial"/>
          <w:color w:val="0000FF"/>
        </w:rPr>
      </w:pPr>
      <w:r w:rsidRPr="004E520F">
        <w:rPr>
          <w:rFonts w:ascii="Arial" w:hAnsi="Arial" w:cs="Arial"/>
          <w:color w:val="0000FF"/>
        </w:rPr>
        <w:t>Our plan is to continue both the two-tier review system and the two proposal cycles.</w:t>
      </w:r>
    </w:p>
    <w:p w:rsidR="00010A99" w:rsidRDefault="00010A99" w:rsidP="00E7343A">
      <w:pPr>
        <w:suppressAutoHyphens/>
        <w:ind w:left="540"/>
        <w:rPr>
          <w:rFonts w:ascii="Arial" w:hAnsi="Arial" w:cs="Arial"/>
          <w:color w:val="0000FF"/>
        </w:rPr>
      </w:pPr>
    </w:p>
    <w:p w:rsidR="00010A99" w:rsidRPr="00EE4B3B" w:rsidRDefault="00010A99" w:rsidP="00010A99">
      <w:pPr>
        <w:suppressAutoHyphens/>
        <w:ind w:left="540"/>
        <w:rPr>
          <w:rFonts w:ascii="Arial" w:hAnsi="Arial" w:cs="Arial"/>
          <w:color w:val="00B050"/>
        </w:rPr>
      </w:pPr>
      <w:r>
        <w:rPr>
          <w:rFonts w:ascii="Arial" w:hAnsi="Arial" w:cs="Arial"/>
          <w:color w:val="00B050"/>
        </w:rPr>
        <w:t>2012 U</w:t>
      </w:r>
      <w:r w:rsidRPr="00EE4B3B">
        <w:rPr>
          <w:rFonts w:ascii="Arial" w:hAnsi="Arial" w:cs="Arial"/>
          <w:color w:val="00B050"/>
        </w:rPr>
        <w:t xml:space="preserve">pdate: </w:t>
      </w:r>
      <w:r>
        <w:rPr>
          <w:rFonts w:ascii="Arial" w:hAnsi="Arial" w:cs="Arial"/>
          <w:color w:val="00B050"/>
        </w:rPr>
        <w:t>This practice continues.</w:t>
      </w:r>
    </w:p>
    <w:p w:rsidR="00E7343A" w:rsidRPr="00191265" w:rsidRDefault="00E7343A" w:rsidP="00010A99">
      <w:pPr>
        <w:suppressAutoHyphens/>
        <w:rPr>
          <w:rFonts w:ascii="Arial" w:hAnsi="Arial" w:cs="Arial"/>
        </w:rPr>
      </w:pPr>
    </w:p>
    <w:p w:rsidR="00191265" w:rsidRDefault="00E7343A" w:rsidP="00191265">
      <w:pPr>
        <w:numPr>
          <w:ilvl w:val="0"/>
          <w:numId w:val="32"/>
        </w:numPr>
        <w:suppressAutoHyphens/>
        <w:ind w:left="540" w:hanging="270"/>
        <w:rPr>
          <w:rFonts w:ascii="Arial" w:hAnsi="Arial" w:cs="Arial"/>
        </w:rPr>
      </w:pPr>
      <w:r>
        <w:rPr>
          <w:rFonts w:ascii="Arial" w:hAnsi="Arial" w:cs="Arial"/>
        </w:rPr>
        <w:t xml:space="preserve"> </w:t>
      </w:r>
      <w:r w:rsidR="00191265" w:rsidRPr="00191265">
        <w:rPr>
          <w:rFonts w:ascii="Arial" w:hAnsi="Arial" w:cs="Arial"/>
        </w:rPr>
        <w:t>We also recommend that POs across EAR be alert for possible collaborations between SEP and the Deep Earth Processes (DEP) section of EAR.</w:t>
      </w:r>
    </w:p>
    <w:p w:rsidR="00E7343A" w:rsidRDefault="00E7343A" w:rsidP="00E7343A">
      <w:pPr>
        <w:suppressAutoHyphens/>
        <w:ind w:left="540"/>
        <w:rPr>
          <w:rFonts w:ascii="Arial" w:hAnsi="Arial" w:cs="Arial"/>
        </w:rPr>
      </w:pPr>
    </w:p>
    <w:p w:rsidR="00E7343A" w:rsidRDefault="00E7343A" w:rsidP="00E7343A">
      <w:pPr>
        <w:suppressAutoHyphens/>
        <w:ind w:left="540"/>
        <w:rPr>
          <w:rFonts w:ascii="Arial" w:hAnsi="Arial" w:cs="Arial"/>
          <w:color w:val="0000FF"/>
        </w:rPr>
      </w:pPr>
      <w:r w:rsidRPr="004E520F">
        <w:rPr>
          <w:rFonts w:ascii="Arial" w:hAnsi="Arial" w:cs="Arial"/>
          <w:color w:val="0000FF"/>
        </w:rPr>
        <w:t xml:space="preserve">Discussion is underway to create precisely such a programmatic </w:t>
      </w:r>
      <w:r w:rsidR="00AE7065">
        <w:rPr>
          <w:rFonts w:ascii="Arial" w:hAnsi="Arial" w:cs="Arial"/>
          <w:color w:val="0000FF"/>
        </w:rPr>
        <w:t>vehicle</w:t>
      </w:r>
      <w:r w:rsidRPr="004E520F">
        <w:rPr>
          <w:rFonts w:ascii="Arial" w:hAnsi="Arial" w:cs="Arial"/>
          <w:color w:val="0000FF"/>
        </w:rPr>
        <w:t xml:space="preserve"> for collabor</w:t>
      </w:r>
      <w:r w:rsidR="00275EC1">
        <w:rPr>
          <w:rFonts w:ascii="Arial" w:hAnsi="Arial" w:cs="Arial"/>
          <w:color w:val="0000FF"/>
        </w:rPr>
        <w:t>ation across EAR.  Stay tuned.</w:t>
      </w:r>
    </w:p>
    <w:p w:rsidR="00275EC1" w:rsidRDefault="00275EC1" w:rsidP="00E7343A">
      <w:pPr>
        <w:suppressAutoHyphens/>
        <w:ind w:left="540"/>
        <w:rPr>
          <w:rFonts w:ascii="Arial" w:hAnsi="Arial" w:cs="Arial"/>
          <w:color w:val="0000FF"/>
        </w:rPr>
      </w:pPr>
    </w:p>
    <w:p w:rsidR="00275EC1" w:rsidRPr="0079697D" w:rsidRDefault="00275EC1" w:rsidP="00275EC1">
      <w:pPr>
        <w:suppressAutoHyphens/>
        <w:ind w:left="540"/>
        <w:rPr>
          <w:rFonts w:ascii="Arial" w:hAnsi="Arial" w:cs="Arial"/>
          <w:b/>
          <w:color w:val="00B050"/>
        </w:rPr>
      </w:pPr>
      <w:r>
        <w:rPr>
          <w:rFonts w:ascii="Arial" w:hAnsi="Arial" w:cs="Arial"/>
          <w:color w:val="00B050"/>
        </w:rPr>
        <w:t>2012 U</w:t>
      </w:r>
      <w:r w:rsidRPr="00EE4B3B">
        <w:rPr>
          <w:rFonts w:ascii="Arial" w:hAnsi="Arial" w:cs="Arial"/>
          <w:color w:val="00B050"/>
        </w:rPr>
        <w:t xml:space="preserve">pdate: </w:t>
      </w:r>
      <w:r>
        <w:rPr>
          <w:rFonts w:ascii="Arial" w:hAnsi="Arial" w:cs="Arial"/>
          <w:color w:val="00B050"/>
        </w:rPr>
        <w:t xml:space="preserve">An all-day science retreat was held February 6, 2012. At this event, program officers in both DEP and SEP discussed ways in which </w:t>
      </w:r>
      <w:r w:rsidR="005B5E00">
        <w:rPr>
          <w:rFonts w:ascii="Arial" w:hAnsi="Arial" w:cs="Arial"/>
          <w:color w:val="00B050"/>
        </w:rPr>
        <w:t>the sections and programs could collaborate in the future. A post-retreat working group was formed and ideas originating from this retreat were presented at a later GEO-wide retreat. Program officers in both sections have been working together on</w:t>
      </w:r>
      <w:r w:rsidR="004866D3">
        <w:rPr>
          <w:rFonts w:ascii="Arial" w:hAnsi="Arial" w:cs="Arial"/>
          <w:color w:val="00B050"/>
        </w:rPr>
        <w:t xml:space="preserve"> a</w:t>
      </w:r>
      <w:r w:rsidR="005B5E00">
        <w:rPr>
          <w:rFonts w:ascii="Arial" w:hAnsi="Arial" w:cs="Arial"/>
          <w:color w:val="00B050"/>
        </w:rPr>
        <w:t xml:space="preserve"> cross-cutting solicitation </w:t>
      </w:r>
      <w:r w:rsidR="005B5E00" w:rsidRPr="004866D3">
        <w:rPr>
          <w:rFonts w:ascii="Arial" w:hAnsi="Arial" w:cs="Arial"/>
          <w:color w:val="00B050"/>
        </w:rPr>
        <w:t>Integrated Earth Systems (IES).</w:t>
      </w:r>
    </w:p>
    <w:p w:rsidR="00E7343A" w:rsidRPr="00191265" w:rsidRDefault="00E7343A" w:rsidP="00E7343A">
      <w:pPr>
        <w:suppressAutoHyphens/>
        <w:ind w:left="540"/>
        <w:rPr>
          <w:rFonts w:ascii="Arial" w:hAnsi="Arial" w:cs="Arial"/>
        </w:rPr>
      </w:pPr>
    </w:p>
    <w:p w:rsidR="00191265" w:rsidRDefault="00E7343A" w:rsidP="00191265">
      <w:pPr>
        <w:numPr>
          <w:ilvl w:val="0"/>
          <w:numId w:val="32"/>
        </w:numPr>
        <w:suppressAutoHyphens/>
        <w:ind w:left="540" w:hanging="270"/>
        <w:rPr>
          <w:rFonts w:ascii="Arial" w:hAnsi="Arial" w:cs="Arial"/>
        </w:rPr>
      </w:pPr>
      <w:r>
        <w:rPr>
          <w:rFonts w:ascii="Arial" w:hAnsi="Arial" w:cs="Arial"/>
        </w:rPr>
        <w:t xml:space="preserve"> </w:t>
      </w:r>
      <w:r w:rsidR="006C5DD8">
        <w:rPr>
          <w:rFonts w:ascii="Arial" w:hAnsi="Arial" w:cs="Arial"/>
        </w:rPr>
        <w:t xml:space="preserve">(5) </w:t>
      </w:r>
      <w:r w:rsidR="00191265" w:rsidRPr="00191265">
        <w:rPr>
          <w:rFonts w:ascii="Arial" w:hAnsi="Arial" w:cs="Arial"/>
        </w:rPr>
        <w:t xml:space="preserve">Awards made in the core programs, in general, continue to be of quite modest size and of relatively short duration (&lt;3 years). </w:t>
      </w:r>
      <w:r>
        <w:rPr>
          <w:rFonts w:ascii="Arial" w:hAnsi="Arial" w:cs="Arial"/>
        </w:rPr>
        <w:t>A</w:t>
      </w:r>
      <w:r w:rsidR="00191265" w:rsidRPr="00191265">
        <w:rPr>
          <w:rFonts w:ascii="Arial" w:hAnsi="Arial" w:cs="Arial"/>
        </w:rPr>
        <w:t xml:space="preserve"> size-duration-viability threshold may have been reached for some programs, especially those requiring severe cuts to awarded budgets.  </w:t>
      </w:r>
      <w:r w:rsidR="006C5DD8" w:rsidRPr="00191265">
        <w:rPr>
          <w:rFonts w:ascii="Arial" w:hAnsi="Arial" w:cs="Arial"/>
        </w:rPr>
        <w:t>It may be useful for SEP to track work that progresses from EAGER through other NSF funding to identify examples where such innovation occurs.</w:t>
      </w:r>
    </w:p>
    <w:p w:rsidR="00E7343A" w:rsidRDefault="00E7343A" w:rsidP="00E7343A">
      <w:pPr>
        <w:suppressAutoHyphens/>
        <w:ind w:left="540"/>
        <w:rPr>
          <w:rFonts w:ascii="Arial" w:hAnsi="Arial" w:cs="Arial"/>
        </w:rPr>
      </w:pPr>
    </w:p>
    <w:p w:rsidR="00191265" w:rsidRPr="004E520F" w:rsidRDefault="006C5DD8" w:rsidP="006C5DD8">
      <w:pPr>
        <w:suppressAutoHyphens/>
        <w:ind w:left="540"/>
        <w:rPr>
          <w:rFonts w:ascii="Arial" w:hAnsi="Arial" w:cs="Arial"/>
          <w:color w:val="0000FF"/>
        </w:rPr>
      </w:pPr>
      <w:r w:rsidRPr="004E520F">
        <w:rPr>
          <w:rFonts w:ascii="Arial" w:hAnsi="Arial" w:cs="Arial"/>
          <w:color w:val="0000FF"/>
        </w:rPr>
        <w:t xml:space="preserve">An analysis of funding durations must </w:t>
      </w:r>
      <w:r w:rsidR="00236D3B">
        <w:rPr>
          <w:rFonts w:ascii="Arial" w:hAnsi="Arial" w:cs="Arial"/>
          <w:color w:val="0000FF"/>
        </w:rPr>
        <w:t>separate RAPID,</w:t>
      </w:r>
      <w:r w:rsidR="00236D3B" w:rsidRPr="004E520F">
        <w:rPr>
          <w:rFonts w:ascii="Arial" w:hAnsi="Arial" w:cs="Arial"/>
          <w:color w:val="0000FF"/>
        </w:rPr>
        <w:t xml:space="preserve"> </w:t>
      </w:r>
      <w:r w:rsidRPr="004E520F">
        <w:rPr>
          <w:rFonts w:ascii="Arial" w:hAnsi="Arial" w:cs="Arial"/>
          <w:color w:val="0000FF"/>
        </w:rPr>
        <w:t xml:space="preserve">EAGER, workshop and supplement support </w:t>
      </w:r>
      <w:r w:rsidR="00236D3B">
        <w:rPr>
          <w:rFonts w:ascii="Arial" w:hAnsi="Arial" w:cs="Arial"/>
          <w:color w:val="0000FF"/>
        </w:rPr>
        <w:t xml:space="preserve">from regular grants </w:t>
      </w:r>
      <w:r w:rsidRPr="004E520F">
        <w:rPr>
          <w:rFonts w:ascii="Arial" w:hAnsi="Arial" w:cs="Arial"/>
          <w:color w:val="0000FF"/>
        </w:rPr>
        <w:t xml:space="preserve">to properly assess funding trends. On regular grants, </w:t>
      </w:r>
      <w:r w:rsidR="00E7343A" w:rsidRPr="004E520F">
        <w:rPr>
          <w:rFonts w:ascii="Arial" w:hAnsi="Arial" w:cs="Arial"/>
          <w:color w:val="0000FF"/>
        </w:rPr>
        <w:t xml:space="preserve">SEP is very interested in determining the sorts of indicators and metrics that would </w:t>
      </w:r>
      <w:r w:rsidR="0058494B" w:rsidRPr="004E520F">
        <w:rPr>
          <w:rFonts w:ascii="Arial" w:hAnsi="Arial" w:cs="Arial"/>
          <w:color w:val="0000FF"/>
        </w:rPr>
        <w:t>quantify this</w:t>
      </w:r>
      <w:r w:rsidR="00E7343A" w:rsidRPr="004E520F">
        <w:rPr>
          <w:rFonts w:ascii="Arial" w:hAnsi="Arial" w:cs="Arial"/>
          <w:color w:val="0000FF"/>
        </w:rPr>
        <w:t xml:space="preserve"> </w:t>
      </w:r>
      <w:r w:rsidR="0058494B" w:rsidRPr="004E520F">
        <w:rPr>
          <w:rFonts w:ascii="Arial" w:hAnsi="Arial" w:cs="Arial"/>
          <w:color w:val="0000FF"/>
        </w:rPr>
        <w:t xml:space="preserve">“limit to </w:t>
      </w:r>
      <w:r w:rsidR="00E7343A" w:rsidRPr="004E520F">
        <w:rPr>
          <w:rFonts w:ascii="Arial" w:hAnsi="Arial" w:cs="Arial"/>
          <w:color w:val="0000FF"/>
        </w:rPr>
        <w:t>viability</w:t>
      </w:r>
      <w:r w:rsidR="0058494B" w:rsidRPr="004E520F">
        <w:rPr>
          <w:rFonts w:ascii="Arial" w:hAnsi="Arial" w:cs="Arial"/>
          <w:color w:val="0000FF"/>
        </w:rPr>
        <w:t xml:space="preserve">”.  </w:t>
      </w:r>
      <w:r w:rsidR="00E70106" w:rsidRPr="004E520F">
        <w:rPr>
          <w:rFonts w:ascii="Arial" w:hAnsi="Arial" w:cs="Arial"/>
          <w:color w:val="0000FF"/>
        </w:rPr>
        <w:t xml:space="preserve">We concur that the award size and duration are on the low end of GEO norms, but there is no compelling information yet available that a “threshold” </w:t>
      </w:r>
      <w:r w:rsidR="0058494B" w:rsidRPr="004E520F">
        <w:rPr>
          <w:rFonts w:ascii="Arial" w:hAnsi="Arial" w:cs="Arial"/>
          <w:color w:val="0000FF"/>
        </w:rPr>
        <w:t>may</w:t>
      </w:r>
      <w:r w:rsidR="00E7343A" w:rsidRPr="004E520F">
        <w:rPr>
          <w:rFonts w:ascii="Arial" w:hAnsi="Arial" w:cs="Arial"/>
          <w:color w:val="0000FF"/>
        </w:rPr>
        <w:t xml:space="preserve"> </w:t>
      </w:r>
      <w:r w:rsidR="0058494B" w:rsidRPr="004E520F">
        <w:rPr>
          <w:rFonts w:ascii="Arial" w:hAnsi="Arial" w:cs="Arial"/>
          <w:color w:val="0000FF"/>
        </w:rPr>
        <w:t xml:space="preserve">have </w:t>
      </w:r>
      <w:r w:rsidR="00E7343A" w:rsidRPr="004E520F">
        <w:rPr>
          <w:rFonts w:ascii="Arial" w:hAnsi="Arial" w:cs="Arial"/>
          <w:color w:val="0000FF"/>
        </w:rPr>
        <w:t xml:space="preserve">been reached </w:t>
      </w:r>
      <w:r w:rsidR="00E70106" w:rsidRPr="004E520F">
        <w:rPr>
          <w:rFonts w:ascii="Arial" w:hAnsi="Arial" w:cs="Arial"/>
          <w:color w:val="0000FF"/>
        </w:rPr>
        <w:t xml:space="preserve">for some programs.  </w:t>
      </w:r>
      <w:r w:rsidR="0058494B" w:rsidRPr="004E520F">
        <w:rPr>
          <w:rFonts w:ascii="Arial" w:hAnsi="Arial" w:cs="Arial"/>
          <w:color w:val="0000FF"/>
        </w:rPr>
        <w:t xml:space="preserve">For example, several of the accomplishment highlights presented to the COV were made possible by </w:t>
      </w:r>
      <w:r w:rsidR="00E70106" w:rsidRPr="004E520F">
        <w:rPr>
          <w:rFonts w:ascii="Arial" w:hAnsi="Arial" w:cs="Arial"/>
          <w:color w:val="0000FF"/>
        </w:rPr>
        <w:t xml:space="preserve">very </w:t>
      </w:r>
      <w:r w:rsidR="0058494B" w:rsidRPr="004E520F">
        <w:rPr>
          <w:rFonts w:ascii="Arial" w:hAnsi="Arial" w:cs="Arial"/>
          <w:color w:val="0000FF"/>
        </w:rPr>
        <w:t xml:space="preserve">modest EAGER or RAPID grants.  </w:t>
      </w:r>
      <w:r w:rsidR="00E70106" w:rsidRPr="004E520F">
        <w:rPr>
          <w:rFonts w:ascii="Arial" w:hAnsi="Arial" w:cs="Arial"/>
          <w:color w:val="0000FF"/>
        </w:rPr>
        <w:t>It is unclear if we</w:t>
      </w:r>
      <w:r w:rsidR="0058494B" w:rsidRPr="004E520F">
        <w:rPr>
          <w:rFonts w:ascii="Arial" w:hAnsi="Arial" w:cs="Arial"/>
          <w:color w:val="0000FF"/>
        </w:rPr>
        <w:t xml:space="preserve"> </w:t>
      </w:r>
      <w:r w:rsidR="00E70106" w:rsidRPr="004E520F">
        <w:rPr>
          <w:rFonts w:ascii="Arial" w:hAnsi="Arial" w:cs="Arial"/>
          <w:color w:val="0000FF"/>
        </w:rPr>
        <w:t xml:space="preserve">are merely facing </w:t>
      </w:r>
      <w:r w:rsidR="0058494B" w:rsidRPr="004E520F">
        <w:rPr>
          <w:rFonts w:ascii="Arial" w:hAnsi="Arial" w:cs="Arial"/>
          <w:color w:val="0000FF"/>
        </w:rPr>
        <w:t>a new fiscal reality</w:t>
      </w:r>
      <w:r w:rsidR="00E70106" w:rsidRPr="004E520F">
        <w:rPr>
          <w:rFonts w:ascii="Arial" w:hAnsi="Arial" w:cs="Arial"/>
          <w:color w:val="0000FF"/>
        </w:rPr>
        <w:t xml:space="preserve"> or if the </w:t>
      </w:r>
      <w:r w:rsidR="00DB5E30" w:rsidRPr="004E520F">
        <w:rPr>
          <w:rFonts w:ascii="Arial" w:hAnsi="Arial" w:cs="Arial"/>
          <w:color w:val="0000FF"/>
        </w:rPr>
        <w:t>research that is being performed is</w:t>
      </w:r>
      <w:r w:rsidR="003757EA" w:rsidRPr="004E520F">
        <w:rPr>
          <w:rFonts w:ascii="Arial" w:hAnsi="Arial" w:cs="Arial"/>
          <w:color w:val="0000FF"/>
        </w:rPr>
        <w:t xml:space="preserve"> indeed </w:t>
      </w:r>
      <w:r w:rsidR="00E70106" w:rsidRPr="004E520F">
        <w:rPr>
          <w:rFonts w:ascii="Arial" w:hAnsi="Arial" w:cs="Arial"/>
          <w:color w:val="0000FF"/>
        </w:rPr>
        <w:t>more costly th</w:t>
      </w:r>
      <w:r w:rsidR="003757EA" w:rsidRPr="004E520F">
        <w:rPr>
          <w:rFonts w:ascii="Arial" w:hAnsi="Arial" w:cs="Arial"/>
          <w:color w:val="0000FF"/>
        </w:rPr>
        <w:t>a</w:t>
      </w:r>
      <w:r w:rsidR="00DB5E30" w:rsidRPr="004E520F">
        <w:rPr>
          <w:rFonts w:ascii="Arial" w:hAnsi="Arial" w:cs="Arial"/>
          <w:color w:val="0000FF"/>
        </w:rPr>
        <w:t>n the award level being provided</w:t>
      </w:r>
      <w:r w:rsidR="00E70106" w:rsidRPr="004E520F">
        <w:rPr>
          <w:rFonts w:ascii="Arial" w:hAnsi="Arial" w:cs="Arial"/>
          <w:color w:val="0000FF"/>
        </w:rPr>
        <w:t>.</w:t>
      </w:r>
      <w:r w:rsidR="0058494B" w:rsidRPr="004E520F">
        <w:rPr>
          <w:rFonts w:ascii="Arial" w:hAnsi="Arial" w:cs="Arial"/>
          <w:color w:val="0000FF"/>
        </w:rPr>
        <w:t xml:space="preserve">  </w:t>
      </w:r>
      <w:r w:rsidR="003757EA" w:rsidRPr="004E520F">
        <w:rPr>
          <w:rFonts w:ascii="Arial" w:hAnsi="Arial" w:cs="Arial"/>
          <w:color w:val="0000FF"/>
        </w:rPr>
        <w:t>One possible metri</w:t>
      </w:r>
      <w:r w:rsidR="00DB5E30" w:rsidRPr="004E520F">
        <w:rPr>
          <w:rFonts w:ascii="Arial" w:hAnsi="Arial" w:cs="Arial"/>
          <w:color w:val="0000FF"/>
        </w:rPr>
        <w:t xml:space="preserve">c </w:t>
      </w:r>
      <w:r w:rsidR="008455FE">
        <w:rPr>
          <w:rFonts w:ascii="Arial" w:hAnsi="Arial" w:cs="Arial"/>
          <w:color w:val="0000FF"/>
        </w:rPr>
        <w:t xml:space="preserve">for this viability threshold </w:t>
      </w:r>
      <w:r w:rsidR="00DB5E30" w:rsidRPr="004E520F">
        <w:rPr>
          <w:rFonts w:ascii="Arial" w:hAnsi="Arial" w:cs="Arial"/>
          <w:color w:val="0000FF"/>
        </w:rPr>
        <w:t>is the difference between the</w:t>
      </w:r>
      <w:r w:rsidR="003757EA" w:rsidRPr="004E520F">
        <w:rPr>
          <w:rFonts w:ascii="Arial" w:hAnsi="Arial" w:cs="Arial"/>
          <w:color w:val="0000FF"/>
        </w:rPr>
        <w:t xml:space="preserve"> requested amount </w:t>
      </w:r>
      <w:r w:rsidR="00DB5E30" w:rsidRPr="004E520F">
        <w:rPr>
          <w:rFonts w:ascii="Arial" w:hAnsi="Arial" w:cs="Arial"/>
          <w:color w:val="0000FF"/>
        </w:rPr>
        <w:t>and</w:t>
      </w:r>
      <w:r w:rsidR="003757EA" w:rsidRPr="004E520F">
        <w:rPr>
          <w:rFonts w:ascii="Arial" w:hAnsi="Arial" w:cs="Arial"/>
          <w:color w:val="0000FF"/>
        </w:rPr>
        <w:t xml:space="preserve"> the amount </w:t>
      </w:r>
      <w:r w:rsidR="00DB5E30" w:rsidRPr="004E520F">
        <w:rPr>
          <w:rFonts w:ascii="Arial" w:hAnsi="Arial" w:cs="Arial"/>
          <w:color w:val="0000FF"/>
        </w:rPr>
        <w:t>granted</w:t>
      </w:r>
      <w:r w:rsidR="003757EA" w:rsidRPr="004E520F">
        <w:rPr>
          <w:rFonts w:ascii="Arial" w:hAnsi="Arial" w:cs="Arial"/>
          <w:color w:val="0000FF"/>
        </w:rPr>
        <w:t>, although we note that a change in scope is always advised when POs request the PIs to submit a reduced budget. On balance, w</w:t>
      </w:r>
      <w:r w:rsidR="0058494B" w:rsidRPr="004E520F">
        <w:rPr>
          <w:rFonts w:ascii="Arial" w:hAnsi="Arial" w:cs="Arial"/>
          <w:color w:val="0000FF"/>
        </w:rPr>
        <w:t xml:space="preserve">e agree that this </w:t>
      </w:r>
      <w:r w:rsidR="0058494B" w:rsidRPr="004E520F">
        <w:rPr>
          <w:rFonts w:ascii="Arial" w:hAnsi="Arial" w:cs="Arial"/>
          <w:color w:val="0000FF"/>
        </w:rPr>
        <w:lastRenderedPageBreak/>
        <w:t>requi</w:t>
      </w:r>
      <w:r w:rsidR="003757EA" w:rsidRPr="004E520F">
        <w:rPr>
          <w:rFonts w:ascii="Arial" w:hAnsi="Arial" w:cs="Arial"/>
          <w:color w:val="0000FF"/>
        </w:rPr>
        <w:t xml:space="preserve">res further serious discussions, and all SEP Programs have been advised to monitor this issue.  </w:t>
      </w:r>
      <w:r w:rsidR="0058494B" w:rsidRPr="004E520F">
        <w:rPr>
          <w:rFonts w:ascii="Arial" w:hAnsi="Arial" w:cs="Arial"/>
          <w:color w:val="0000FF"/>
        </w:rPr>
        <w:t xml:space="preserve">    </w:t>
      </w:r>
    </w:p>
    <w:p w:rsidR="006C5DD8" w:rsidRPr="004E520F" w:rsidRDefault="006C5DD8" w:rsidP="006C5DD8">
      <w:pPr>
        <w:suppressAutoHyphens/>
        <w:ind w:left="540"/>
        <w:rPr>
          <w:rFonts w:ascii="Arial" w:hAnsi="Arial" w:cs="Arial"/>
          <w:color w:val="0000FF"/>
        </w:rPr>
      </w:pPr>
    </w:p>
    <w:p w:rsidR="006C5DD8" w:rsidRDefault="006C5DD8" w:rsidP="006C5DD8">
      <w:pPr>
        <w:suppressAutoHyphens/>
        <w:ind w:left="540"/>
        <w:rPr>
          <w:rFonts w:ascii="Arial" w:hAnsi="Arial" w:cs="Arial"/>
          <w:color w:val="0000FF"/>
        </w:rPr>
      </w:pPr>
      <w:r w:rsidRPr="004E520F">
        <w:rPr>
          <w:rFonts w:ascii="Arial" w:hAnsi="Arial" w:cs="Arial"/>
          <w:color w:val="0000FF"/>
        </w:rPr>
        <w:t>Only a small fraction of EAGER proposals become full blown projects and proposals, precisely because EAGER ideas are high-risk</w:t>
      </w:r>
      <w:r w:rsidR="00B742AC" w:rsidRPr="004E520F">
        <w:rPr>
          <w:rFonts w:ascii="Arial" w:hAnsi="Arial" w:cs="Arial"/>
          <w:color w:val="0000FF"/>
        </w:rPr>
        <w:t xml:space="preserve"> exploratory</w:t>
      </w:r>
      <w:r w:rsidRPr="004E520F">
        <w:rPr>
          <w:rFonts w:ascii="Arial" w:hAnsi="Arial" w:cs="Arial"/>
          <w:color w:val="0000FF"/>
        </w:rPr>
        <w:t xml:space="preserve"> initiatives.  We are open to the idea of taking a closer look at EAGER grants provided by SEP, to examine the role this mode of support has played in development of transformative ideas.  </w:t>
      </w:r>
    </w:p>
    <w:p w:rsidR="008623FC" w:rsidRDefault="008623FC" w:rsidP="006C5DD8">
      <w:pPr>
        <w:suppressAutoHyphens/>
        <w:ind w:left="540"/>
        <w:rPr>
          <w:rFonts w:ascii="Arial" w:hAnsi="Arial" w:cs="Arial"/>
          <w:color w:val="0000FF"/>
        </w:rPr>
      </w:pPr>
    </w:p>
    <w:p w:rsidR="008623FC" w:rsidRPr="00275EC1" w:rsidRDefault="008623FC" w:rsidP="008623FC">
      <w:pPr>
        <w:suppressAutoHyphens/>
        <w:ind w:left="540"/>
        <w:rPr>
          <w:rFonts w:ascii="Arial" w:hAnsi="Arial" w:cs="Arial"/>
          <w:color w:val="00B050"/>
        </w:rPr>
      </w:pPr>
      <w:r>
        <w:rPr>
          <w:rFonts w:ascii="Arial" w:hAnsi="Arial" w:cs="Arial"/>
          <w:color w:val="00B050"/>
        </w:rPr>
        <w:t>2012 U</w:t>
      </w:r>
      <w:r w:rsidRPr="00EE4B3B">
        <w:rPr>
          <w:rFonts w:ascii="Arial" w:hAnsi="Arial" w:cs="Arial"/>
          <w:color w:val="00B050"/>
        </w:rPr>
        <w:t xml:space="preserve">pdate: </w:t>
      </w:r>
      <w:r w:rsidR="00141B41">
        <w:rPr>
          <w:rFonts w:ascii="Arial" w:hAnsi="Arial" w:cs="Arial"/>
          <w:color w:val="00B050"/>
        </w:rPr>
        <w:t>We have looked at the requested amount vs. awarded amount for awards made in FY11</w:t>
      </w:r>
      <w:r w:rsidR="00094E83">
        <w:rPr>
          <w:rFonts w:ascii="Arial" w:hAnsi="Arial" w:cs="Arial"/>
          <w:color w:val="00B050"/>
        </w:rPr>
        <w:t xml:space="preserve"> (excluding workshops, EAGERS, and RAPIDS)</w:t>
      </w:r>
      <w:r w:rsidR="00141B41">
        <w:rPr>
          <w:rFonts w:ascii="Arial" w:hAnsi="Arial" w:cs="Arial"/>
          <w:color w:val="00B050"/>
        </w:rPr>
        <w:t>. Percentage awarded was calculated where 100% indicates that the amount awarded was equal to the amount requested. For each program, the average percent awarded was as follows: HS=88%; GG=87%; GLD=91%; SGP=81%.</w:t>
      </w:r>
      <w:r w:rsidR="00EE7D50">
        <w:rPr>
          <w:rFonts w:ascii="Arial" w:hAnsi="Arial" w:cs="Arial"/>
          <w:color w:val="00B050"/>
        </w:rPr>
        <w:t xml:space="preserve">  Also, award vs. requested award duration was looked at for awards made in FY11. In the </w:t>
      </w:r>
      <w:r w:rsidR="009B5407">
        <w:rPr>
          <w:rFonts w:ascii="Arial" w:hAnsi="Arial" w:cs="Arial"/>
          <w:color w:val="00B050"/>
        </w:rPr>
        <w:t>four</w:t>
      </w:r>
      <w:r w:rsidR="00EE7D50">
        <w:rPr>
          <w:rFonts w:ascii="Arial" w:hAnsi="Arial" w:cs="Arial"/>
          <w:color w:val="00B050"/>
        </w:rPr>
        <w:t xml:space="preserve"> core programs, only two proposals were awarded with </w:t>
      </w:r>
      <w:r w:rsidR="000B2A24">
        <w:rPr>
          <w:rFonts w:ascii="Arial" w:hAnsi="Arial" w:cs="Arial"/>
          <w:color w:val="00B050"/>
        </w:rPr>
        <w:t>fewer</w:t>
      </w:r>
      <w:r w:rsidR="00EE7D50">
        <w:rPr>
          <w:rFonts w:ascii="Arial" w:hAnsi="Arial" w:cs="Arial"/>
          <w:color w:val="00B050"/>
        </w:rPr>
        <w:t xml:space="preserve"> months than requested (1 proposal each in HS and GG were awarded 1 year of funding less than requested).</w:t>
      </w:r>
      <w:r w:rsidR="009B5407">
        <w:rPr>
          <w:rFonts w:ascii="Arial" w:hAnsi="Arial" w:cs="Arial"/>
          <w:color w:val="00B050"/>
        </w:rPr>
        <w:t xml:space="preserve"> The reduced time awarded was recommended during the review process because the p</w:t>
      </w:r>
      <w:r w:rsidR="00F871DC">
        <w:rPr>
          <w:rFonts w:ascii="Arial" w:hAnsi="Arial" w:cs="Arial"/>
          <w:color w:val="00B050"/>
        </w:rPr>
        <w:t>rojects were not mature enough for full implementation.</w:t>
      </w:r>
      <w:r w:rsidR="000605CB">
        <w:rPr>
          <w:rFonts w:ascii="Arial" w:hAnsi="Arial" w:cs="Arial"/>
          <w:color w:val="00B050"/>
        </w:rPr>
        <w:t xml:space="preserve"> The information for one fiscal year needs to be placed within a temporal context to see if any patterns emerge. </w:t>
      </w:r>
    </w:p>
    <w:p w:rsidR="00094CF1" w:rsidRPr="00191265" w:rsidRDefault="00094CF1" w:rsidP="009B5407">
      <w:pPr>
        <w:suppressAutoHyphens/>
        <w:rPr>
          <w:rFonts w:ascii="Arial" w:hAnsi="Arial" w:cs="Arial"/>
        </w:rPr>
      </w:pPr>
    </w:p>
    <w:p w:rsidR="00191265" w:rsidRDefault="006C5DD8" w:rsidP="006C5DD8">
      <w:pPr>
        <w:numPr>
          <w:ilvl w:val="0"/>
          <w:numId w:val="33"/>
        </w:numPr>
        <w:suppressAutoHyphens/>
        <w:rPr>
          <w:rFonts w:ascii="Arial" w:hAnsi="Arial" w:cs="Arial"/>
        </w:rPr>
      </w:pPr>
      <w:r>
        <w:rPr>
          <w:rFonts w:ascii="Arial" w:hAnsi="Arial" w:cs="Arial"/>
        </w:rPr>
        <w:t xml:space="preserve">(7) We note </w:t>
      </w:r>
      <w:r w:rsidR="00191265" w:rsidRPr="00191265">
        <w:rPr>
          <w:rFonts w:ascii="Arial" w:hAnsi="Arial" w:cs="Arial"/>
        </w:rPr>
        <w:t>that proposals reviewed by several panels, especially when reviewed across the Foundation, appear to enjoy a lower success rate than those reviewed by a single panel within SEP</w:t>
      </w:r>
      <w:r>
        <w:rPr>
          <w:rFonts w:ascii="Arial" w:hAnsi="Arial" w:cs="Arial"/>
        </w:rPr>
        <w:t>, and that, w</w:t>
      </w:r>
      <w:r w:rsidR="00191265" w:rsidRPr="006C5DD8">
        <w:rPr>
          <w:rFonts w:ascii="Arial" w:hAnsi="Arial" w:cs="Arial"/>
        </w:rPr>
        <w:t>ithin the core programs, successful proposals have (statistically significantly) fewer ad hoc reviews than do declined proposals.  We think that this bears examination by programs and we recommend that a more robust review and careful analysis be done. We think that the use of modern databases should assist in increasing the efficiency of getting reviews and note that if the NSF does not have appropriate software, they should upgrade. Review requests that ask for immediate response (accept, decline) may prove to be best practice.</w:t>
      </w:r>
    </w:p>
    <w:p w:rsidR="00713794" w:rsidRDefault="00713794" w:rsidP="00713794">
      <w:pPr>
        <w:suppressAutoHyphens/>
        <w:ind w:left="720"/>
        <w:rPr>
          <w:rFonts w:ascii="Arial" w:hAnsi="Arial" w:cs="Arial"/>
        </w:rPr>
      </w:pPr>
    </w:p>
    <w:p w:rsidR="00A12973" w:rsidRPr="004E520F" w:rsidRDefault="00907D9E" w:rsidP="00713794">
      <w:pPr>
        <w:suppressAutoHyphens/>
        <w:ind w:left="720"/>
        <w:rPr>
          <w:rFonts w:ascii="Arial" w:hAnsi="Arial" w:cs="Arial"/>
          <w:color w:val="0000FF"/>
        </w:rPr>
      </w:pPr>
      <w:r w:rsidRPr="004E520F">
        <w:rPr>
          <w:rFonts w:ascii="Arial" w:hAnsi="Arial" w:cs="Arial"/>
          <w:color w:val="0000FF"/>
        </w:rPr>
        <w:t>The</w:t>
      </w:r>
      <w:r w:rsidR="00713794" w:rsidRPr="004E520F">
        <w:rPr>
          <w:rFonts w:ascii="Arial" w:hAnsi="Arial" w:cs="Arial"/>
          <w:color w:val="0000FF"/>
        </w:rPr>
        <w:t xml:space="preserve"> observation and inferences </w:t>
      </w:r>
      <w:r w:rsidR="00C51AF8" w:rsidRPr="004E520F">
        <w:rPr>
          <w:rFonts w:ascii="Arial" w:hAnsi="Arial" w:cs="Arial"/>
          <w:color w:val="0000FF"/>
        </w:rPr>
        <w:t xml:space="preserve">made by the COV </w:t>
      </w:r>
      <w:r w:rsidR="00713794" w:rsidRPr="004E520F">
        <w:rPr>
          <w:rFonts w:ascii="Arial" w:hAnsi="Arial" w:cs="Arial"/>
          <w:color w:val="0000FF"/>
        </w:rPr>
        <w:t xml:space="preserve">are worth validating and examining closely.  </w:t>
      </w:r>
      <w:r w:rsidR="001D7548" w:rsidRPr="004E520F">
        <w:rPr>
          <w:rFonts w:ascii="Arial" w:hAnsi="Arial" w:cs="Arial"/>
          <w:color w:val="0000FF"/>
        </w:rPr>
        <w:t>The</w:t>
      </w:r>
      <w:r w:rsidR="00713794" w:rsidRPr="004E520F">
        <w:rPr>
          <w:rFonts w:ascii="Arial" w:hAnsi="Arial" w:cs="Arial"/>
          <w:color w:val="0000FF"/>
        </w:rPr>
        <w:t xml:space="preserve"> </w:t>
      </w:r>
      <w:r w:rsidR="00C51AF8" w:rsidRPr="004E520F">
        <w:rPr>
          <w:rFonts w:ascii="Arial" w:hAnsi="Arial" w:cs="Arial"/>
          <w:color w:val="0000FF"/>
        </w:rPr>
        <w:t xml:space="preserve">data provided to the </w:t>
      </w:r>
      <w:r w:rsidR="00713794" w:rsidRPr="004E520F">
        <w:rPr>
          <w:rFonts w:ascii="Arial" w:hAnsi="Arial" w:cs="Arial"/>
          <w:color w:val="0000FF"/>
        </w:rPr>
        <w:t xml:space="preserve">COV </w:t>
      </w:r>
      <w:r w:rsidR="00C51AF8" w:rsidRPr="004E520F">
        <w:rPr>
          <w:rFonts w:ascii="Arial" w:hAnsi="Arial" w:cs="Arial"/>
          <w:color w:val="0000FF"/>
        </w:rPr>
        <w:t xml:space="preserve">did not allow statistics of success rates to be evaluated exclusively for co-reviewed proposals, but </w:t>
      </w:r>
      <w:r w:rsidR="00AD110A">
        <w:rPr>
          <w:rFonts w:ascii="Arial" w:hAnsi="Arial" w:cs="Arial"/>
          <w:color w:val="0000FF"/>
        </w:rPr>
        <w:t>Program Officer</w:t>
      </w:r>
      <w:r w:rsidR="007C618F">
        <w:rPr>
          <w:rFonts w:ascii="Arial" w:hAnsi="Arial" w:cs="Arial"/>
          <w:color w:val="0000FF"/>
        </w:rPr>
        <w:t>s</w:t>
      </w:r>
      <w:r w:rsidR="00C51AF8" w:rsidRPr="004E520F">
        <w:rPr>
          <w:rFonts w:ascii="Arial" w:hAnsi="Arial" w:cs="Arial"/>
          <w:color w:val="0000FF"/>
        </w:rPr>
        <w:t xml:space="preserve"> </w:t>
      </w:r>
      <w:r w:rsidR="00AD110A">
        <w:rPr>
          <w:rFonts w:ascii="Arial" w:hAnsi="Arial" w:cs="Arial"/>
          <w:color w:val="0000FF"/>
        </w:rPr>
        <w:t xml:space="preserve">may be able to </w:t>
      </w:r>
      <w:r w:rsidR="00C51AF8" w:rsidRPr="004E520F">
        <w:rPr>
          <w:rFonts w:ascii="Arial" w:hAnsi="Arial" w:cs="Arial"/>
          <w:color w:val="0000FF"/>
        </w:rPr>
        <w:t>track this metric for their individual programs</w:t>
      </w:r>
      <w:r w:rsidR="00496AC4" w:rsidRPr="004E520F">
        <w:rPr>
          <w:rFonts w:ascii="Arial" w:hAnsi="Arial" w:cs="Arial"/>
          <w:color w:val="0000FF"/>
        </w:rPr>
        <w:t xml:space="preserve"> in response to the COV comment</w:t>
      </w:r>
      <w:r w:rsidR="00C51AF8" w:rsidRPr="004E520F">
        <w:rPr>
          <w:rFonts w:ascii="Arial" w:hAnsi="Arial" w:cs="Arial"/>
          <w:color w:val="0000FF"/>
        </w:rPr>
        <w:t xml:space="preserve">.  </w:t>
      </w:r>
    </w:p>
    <w:p w:rsidR="00A12973" w:rsidRPr="004E520F" w:rsidRDefault="00A12973" w:rsidP="00713794">
      <w:pPr>
        <w:suppressAutoHyphens/>
        <w:ind w:left="720"/>
        <w:rPr>
          <w:rFonts w:ascii="Arial" w:hAnsi="Arial" w:cs="Arial"/>
          <w:color w:val="0000FF"/>
        </w:rPr>
      </w:pPr>
    </w:p>
    <w:p w:rsidR="00496AC4" w:rsidRPr="004E520F" w:rsidRDefault="00C51AF8" w:rsidP="00713794">
      <w:pPr>
        <w:suppressAutoHyphens/>
        <w:ind w:left="720"/>
        <w:rPr>
          <w:rFonts w:ascii="Arial" w:hAnsi="Arial" w:cs="Arial"/>
          <w:color w:val="0000FF"/>
        </w:rPr>
      </w:pPr>
      <w:r w:rsidRPr="004E520F">
        <w:rPr>
          <w:rFonts w:ascii="Arial" w:hAnsi="Arial" w:cs="Arial"/>
          <w:color w:val="0000FF"/>
        </w:rPr>
        <w:t>The data that we presented for the COV on the average number of reviewers for awards and declines indeed consistently showed that declined proposals have more reviewers than successful proposals</w:t>
      </w:r>
      <w:r w:rsidR="008A44E4">
        <w:rPr>
          <w:rFonts w:ascii="Arial" w:hAnsi="Arial" w:cs="Arial"/>
          <w:color w:val="0000FF"/>
        </w:rPr>
        <w:t xml:space="preserve"> (roughly 4.5 [awarded] versus 5.5 [declined]</w:t>
      </w:r>
      <w:r w:rsidRPr="004E520F">
        <w:rPr>
          <w:rFonts w:ascii="Arial" w:hAnsi="Arial" w:cs="Arial"/>
          <w:color w:val="0000FF"/>
        </w:rPr>
        <w:t xml:space="preserve">.  SEP will engage a student intern on our next opportunity to examine the statistical significance of this trend, and </w:t>
      </w:r>
      <w:r w:rsidR="00496AC4" w:rsidRPr="004E520F">
        <w:rPr>
          <w:rFonts w:ascii="Arial" w:hAnsi="Arial" w:cs="Arial"/>
          <w:color w:val="0000FF"/>
        </w:rPr>
        <w:t xml:space="preserve">to </w:t>
      </w:r>
      <w:r w:rsidRPr="004E520F">
        <w:rPr>
          <w:rFonts w:ascii="Arial" w:hAnsi="Arial" w:cs="Arial"/>
          <w:color w:val="0000FF"/>
        </w:rPr>
        <w:t xml:space="preserve">inquire into </w:t>
      </w:r>
      <w:r w:rsidR="00A12973" w:rsidRPr="004E520F">
        <w:rPr>
          <w:rFonts w:ascii="Arial" w:hAnsi="Arial" w:cs="Arial"/>
          <w:color w:val="0000FF"/>
        </w:rPr>
        <w:t xml:space="preserve">the </w:t>
      </w:r>
      <w:r w:rsidRPr="004E520F">
        <w:rPr>
          <w:rFonts w:ascii="Arial" w:hAnsi="Arial" w:cs="Arial"/>
          <w:color w:val="0000FF"/>
        </w:rPr>
        <w:t xml:space="preserve">underlying causality.   </w:t>
      </w:r>
      <w:r w:rsidR="00496AC4" w:rsidRPr="004E520F">
        <w:rPr>
          <w:rFonts w:ascii="Arial" w:hAnsi="Arial" w:cs="Arial"/>
          <w:color w:val="0000FF"/>
        </w:rPr>
        <w:t xml:space="preserve">One technicality has to be pointed out, and that is reviewers who offer fractional ratings (e.g., E/V or VG/G) are not counted by the EIS system.  A first order task for the student intern is to include these fractional raters in the data pool to establish that their removal from the pool did not systematically lower the estimate of total reviewers for the successful proposals (i.e., this would happen, for example, if highly rated proposals attract more fractional ratings than poorer proposals). </w:t>
      </w:r>
    </w:p>
    <w:p w:rsidR="00496AC4" w:rsidRPr="004E520F" w:rsidRDefault="00496AC4" w:rsidP="00713794">
      <w:pPr>
        <w:suppressAutoHyphens/>
        <w:ind w:left="720"/>
        <w:rPr>
          <w:rFonts w:ascii="Arial" w:hAnsi="Arial" w:cs="Arial"/>
          <w:color w:val="0000FF"/>
        </w:rPr>
      </w:pPr>
    </w:p>
    <w:p w:rsidR="00A12973" w:rsidRPr="004E520F" w:rsidRDefault="001D7548" w:rsidP="00713794">
      <w:pPr>
        <w:suppressAutoHyphens/>
        <w:ind w:left="720"/>
        <w:rPr>
          <w:rFonts w:ascii="Arial" w:hAnsi="Arial" w:cs="Arial"/>
          <w:color w:val="0000FF"/>
        </w:rPr>
      </w:pPr>
      <w:r w:rsidRPr="004E520F">
        <w:rPr>
          <w:rFonts w:ascii="Arial" w:hAnsi="Arial" w:cs="Arial"/>
          <w:color w:val="0000FF"/>
        </w:rPr>
        <w:lastRenderedPageBreak/>
        <w:t xml:space="preserve">In general, the more inter/multidisciplinary the proposal is, the more reviews are needed to cover the multidisciplinary facets of the proposal.  </w:t>
      </w:r>
      <w:r w:rsidR="00A12973" w:rsidRPr="004E520F">
        <w:rPr>
          <w:rFonts w:ascii="Arial" w:hAnsi="Arial" w:cs="Arial"/>
          <w:color w:val="0000FF"/>
        </w:rPr>
        <w:t>Conversely, the more technically focused a proposal is, the lower is the number of</w:t>
      </w:r>
      <w:r w:rsidR="00496AC4" w:rsidRPr="004E520F">
        <w:rPr>
          <w:rFonts w:ascii="Arial" w:hAnsi="Arial" w:cs="Arial"/>
          <w:color w:val="0000FF"/>
        </w:rPr>
        <w:t xml:space="preserve"> reviewers</w:t>
      </w:r>
      <w:r w:rsidR="00A12973" w:rsidRPr="004E520F">
        <w:rPr>
          <w:rFonts w:ascii="Arial" w:hAnsi="Arial" w:cs="Arial"/>
          <w:color w:val="0000FF"/>
        </w:rPr>
        <w:t xml:space="preserve"> required to get a full evaluation of the proposal.  </w:t>
      </w:r>
      <w:r w:rsidR="00C51AF8" w:rsidRPr="004E520F">
        <w:rPr>
          <w:rFonts w:ascii="Arial" w:hAnsi="Arial" w:cs="Arial"/>
          <w:color w:val="0000FF"/>
        </w:rPr>
        <w:t>Are inter/multidisciplinary proposals generally less successful in our core program competitions</w:t>
      </w:r>
      <w:r w:rsidR="00A12973" w:rsidRPr="004E520F">
        <w:rPr>
          <w:rFonts w:ascii="Arial" w:hAnsi="Arial" w:cs="Arial"/>
          <w:color w:val="0000FF"/>
        </w:rPr>
        <w:t xml:space="preserve"> (conversely, are thematically-focused proposals more successful)</w:t>
      </w:r>
      <w:r w:rsidR="00C51AF8" w:rsidRPr="004E520F">
        <w:rPr>
          <w:rFonts w:ascii="Arial" w:hAnsi="Arial" w:cs="Arial"/>
          <w:color w:val="0000FF"/>
        </w:rPr>
        <w:t xml:space="preserve">?  Furthermore, </w:t>
      </w:r>
      <w:r w:rsidRPr="004E520F">
        <w:rPr>
          <w:rFonts w:ascii="Arial" w:hAnsi="Arial" w:cs="Arial"/>
          <w:color w:val="0000FF"/>
        </w:rPr>
        <w:t>looking at the reviewer numbers alone may not provide a complete analysis</w:t>
      </w:r>
      <w:r w:rsidR="00C51AF8" w:rsidRPr="004E520F">
        <w:rPr>
          <w:rFonts w:ascii="Arial" w:hAnsi="Arial" w:cs="Arial"/>
          <w:color w:val="0000FF"/>
        </w:rPr>
        <w:t xml:space="preserve"> </w:t>
      </w:r>
      <w:r w:rsidR="00A12973" w:rsidRPr="004E520F">
        <w:rPr>
          <w:rFonts w:ascii="Arial" w:hAnsi="Arial" w:cs="Arial"/>
          <w:color w:val="0000FF"/>
        </w:rPr>
        <w:t xml:space="preserve">of causality </w:t>
      </w:r>
      <w:r w:rsidR="00C51AF8" w:rsidRPr="004E520F">
        <w:rPr>
          <w:rFonts w:ascii="Arial" w:hAnsi="Arial" w:cs="Arial"/>
          <w:color w:val="0000FF"/>
        </w:rPr>
        <w:t xml:space="preserve">because the substance of the reviews cannot be accounted </w:t>
      </w:r>
      <w:r w:rsidR="00A12973" w:rsidRPr="004E520F">
        <w:rPr>
          <w:rFonts w:ascii="Arial" w:hAnsi="Arial" w:cs="Arial"/>
          <w:color w:val="0000FF"/>
        </w:rPr>
        <w:t xml:space="preserve">for </w:t>
      </w:r>
      <w:r w:rsidR="00C51AF8" w:rsidRPr="004E520F">
        <w:rPr>
          <w:rFonts w:ascii="Arial" w:hAnsi="Arial" w:cs="Arial"/>
          <w:color w:val="0000FF"/>
        </w:rPr>
        <w:t xml:space="preserve">by counting the number of reviewers.  </w:t>
      </w:r>
      <w:r w:rsidR="00A12973" w:rsidRPr="004E520F">
        <w:rPr>
          <w:rFonts w:ascii="Arial" w:hAnsi="Arial" w:cs="Arial"/>
          <w:color w:val="0000FF"/>
        </w:rPr>
        <w:t xml:space="preserve">Unfortunately, poorer proposals (i.e., candidate for decline) tend to generate less interest and non-substantive reviews.  Once non-substantive reviews are received, </w:t>
      </w:r>
      <w:r w:rsidR="00AD110A">
        <w:rPr>
          <w:rFonts w:ascii="Arial" w:hAnsi="Arial" w:cs="Arial"/>
          <w:color w:val="0000FF"/>
        </w:rPr>
        <w:t>Program Officer</w:t>
      </w:r>
      <w:r w:rsidR="007C618F">
        <w:rPr>
          <w:rFonts w:ascii="Arial" w:hAnsi="Arial" w:cs="Arial"/>
          <w:color w:val="0000FF"/>
        </w:rPr>
        <w:t>s</w:t>
      </w:r>
      <w:r w:rsidR="00A12973" w:rsidRPr="004E520F">
        <w:rPr>
          <w:rFonts w:ascii="Arial" w:hAnsi="Arial" w:cs="Arial"/>
          <w:color w:val="0000FF"/>
        </w:rPr>
        <w:t xml:space="preserve"> will tend to compensate by inviting additional (hopefully more substantive) reviews</w:t>
      </w:r>
      <w:r w:rsidRPr="004E520F">
        <w:rPr>
          <w:rFonts w:ascii="Arial" w:hAnsi="Arial" w:cs="Arial"/>
          <w:color w:val="0000FF"/>
        </w:rPr>
        <w:t xml:space="preserve">. </w:t>
      </w:r>
      <w:r w:rsidR="00496AC4" w:rsidRPr="004E520F">
        <w:rPr>
          <w:rFonts w:ascii="Arial" w:hAnsi="Arial" w:cs="Arial"/>
          <w:color w:val="0000FF"/>
        </w:rPr>
        <w:t xml:space="preserve"> </w:t>
      </w:r>
      <w:r w:rsidRPr="004E520F">
        <w:rPr>
          <w:rFonts w:ascii="Arial" w:hAnsi="Arial" w:cs="Arial"/>
          <w:color w:val="0000FF"/>
        </w:rPr>
        <w:t xml:space="preserve"> </w:t>
      </w:r>
    </w:p>
    <w:p w:rsidR="00A12973" w:rsidRPr="004E520F" w:rsidRDefault="00A12973" w:rsidP="00713794">
      <w:pPr>
        <w:suppressAutoHyphens/>
        <w:ind w:left="720"/>
        <w:rPr>
          <w:rFonts w:ascii="Arial" w:hAnsi="Arial" w:cs="Arial"/>
          <w:color w:val="0000FF"/>
        </w:rPr>
      </w:pPr>
    </w:p>
    <w:p w:rsidR="00713794" w:rsidRDefault="00A12973" w:rsidP="00713794">
      <w:pPr>
        <w:suppressAutoHyphens/>
        <w:ind w:left="720"/>
        <w:rPr>
          <w:rFonts w:ascii="Arial" w:hAnsi="Arial" w:cs="Arial"/>
          <w:color w:val="0000FF"/>
        </w:rPr>
      </w:pPr>
      <w:r w:rsidRPr="004E520F">
        <w:rPr>
          <w:rFonts w:ascii="Arial" w:hAnsi="Arial" w:cs="Arial"/>
          <w:color w:val="0000FF"/>
        </w:rPr>
        <w:t xml:space="preserve">We cannot make recommendations on corrective action until </w:t>
      </w:r>
      <w:r w:rsidR="00496AC4" w:rsidRPr="004E520F">
        <w:rPr>
          <w:rFonts w:ascii="Arial" w:hAnsi="Arial" w:cs="Arial"/>
          <w:color w:val="0000FF"/>
        </w:rPr>
        <w:t>we have fully e</w:t>
      </w:r>
      <w:r w:rsidR="00713794" w:rsidRPr="004E520F">
        <w:rPr>
          <w:rFonts w:ascii="Arial" w:hAnsi="Arial" w:cs="Arial"/>
          <w:color w:val="0000FF"/>
        </w:rPr>
        <w:t>xamine</w:t>
      </w:r>
      <w:r w:rsidR="00496AC4" w:rsidRPr="004E520F">
        <w:rPr>
          <w:rFonts w:ascii="Arial" w:hAnsi="Arial" w:cs="Arial"/>
          <w:color w:val="0000FF"/>
        </w:rPr>
        <w:t>d</w:t>
      </w:r>
      <w:r w:rsidR="00713794" w:rsidRPr="004E520F">
        <w:rPr>
          <w:rFonts w:ascii="Arial" w:hAnsi="Arial" w:cs="Arial"/>
          <w:color w:val="0000FF"/>
        </w:rPr>
        <w:t xml:space="preserve"> the </w:t>
      </w:r>
      <w:r w:rsidR="00496AC4" w:rsidRPr="004E520F">
        <w:rPr>
          <w:rFonts w:ascii="Arial" w:hAnsi="Arial" w:cs="Arial"/>
          <w:color w:val="0000FF"/>
        </w:rPr>
        <w:t xml:space="preserve">causal </w:t>
      </w:r>
      <w:r w:rsidR="00713794" w:rsidRPr="004E520F">
        <w:rPr>
          <w:rFonts w:ascii="Arial" w:hAnsi="Arial" w:cs="Arial"/>
          <w:color w:val="0000FF"/>
        </w:rPr>
        <w:t xml:space="preserve">origin of the </w:t>
      </w:r>
      <w:r w:rsidR="00496AC4" w:rsidRPr="004E520F">
        <w:rPr>
          <w:rFonts w:ascii="Arial" w:hAnsi="Arial" w:cs="Arial"/>
          <w:color w:val="0000FF"/>
        </w:rPr>
        <w:t>trends pointed out</w:t>
      </w:r>
      <w:r w:rsidR="007B431A">
        <w:rPr>
          <w:rFonts w:ascii="Arial" w:hAnsi="Arial" w:cs="Arial"/>
          <w:color w:val="0000FF"/>
        </w:rPr>
        <w:t xml:space="preserve"> by the COV</w:t>
      </w:r>
      <w:r w:rsidR="00496AC4" w:rsidRPr="004E520F">
        <w:rPr>
          <w:rFonts w:ascii="Arial" w:hAnsi="Arial" w:cs="Arial"/>
          <w:color w:val="0000FF"/>
        </w:rPr>
        <w:t xml:space="preserve">.  </w:t>
      </w:r>
    </w:p>
    <w:p w:rsidR="00E47E3B" w:rsidRDefault="00E47E3B" w:rsidP="00713794">
      <w:pPr>
        <w:suppressAutoHyphens/>
        <w:ind w:left="720"/>
        <w:rPr>
          <w:rFonts w:ascii="Arial" w:hAnsi="Arial" w:cs="Arial"/>
          <w:color w:val="0000FF"/>
        </w:rPr>
      </w:pPr>
    </w:p>
    <w:p w:rsidR="006171BA" w:rsidRDefault="00E47E3B" w:rsidP="00E47E3B">
      <w:pPr>
        <w:suppressAutoHyphens/>
        <w:ind w:left="540"/>
        <w:rPr>
          <w:rFonts w:ascii="Arial" w:hAnsi="Arial" w:cs="Arial"/>
          <w:color w:val="00B050"/>
        </w:rPr>
      </w:pPr>
      <w:r>
        <w:rPr>
          <w:rFonts w:ascii="Arial" w:hAnsi="Arial" w:cs="Arial"/>
          <w:color w:val="00B050"/>
        </w:rPr>
        <w:t>2012 U</w:t>
      </w:r>
      <w:r w:rsidRPr="00EE4B3B">
        <w:rPr>
          <w:rFonts w:ascii="Arial" w:hAnsi="Arial" w:cs="Arial"/>
          <w:color w:val="00B050"/>
        </w:rPr>
        <w:t xml:space="preserve">pdate: </w:t>
      </w:r>
      <w:r w:rsidR="000B2A24">
        <w:rPr>
          <w:rFonts w:ascii="Arial" w:hAnsi="Arial" w:cs="Arial"/>
          <w:color w:val="00B050"/>
        </w:rPr>
        <w:t>Our</w:t>
      </w:r>
      <w:r>
        <w:rPr>
          <w:rFonts w:ascii="Arial" w:hAnsi="Arial" w:cs="Arial"/>
          <w:color w:val="00B050"/>
        </w:rPr>
        <w:t xml:space="preserve"> </w:t>
      </w:r>
      <w:r w:rsidR="00C614FD">
        <w:rPr>
          <w:rFonts w:ascii="Arial" w:hAnsi="Arial" w:cs="Arial"/>
          <w:color w:val="00B050"/>
        </w:rPr>
        <w:t xml:space="preserve">Science Assistant was able to </w:t>
      </w:r>
      <w:r w:rsidR="003854A0">
        <w:rPr>
          <w:rFonts w:ascii="Arial" w:hAnsi="Arial" w:cs="Arial"/>
          <w:color w:val="00B050"/>
        </w:rPr>
        <w:t>collect</w:t>
      </w:r>
      <w:r>
        <w:rPr>
          <w:rFonts w:ascii="Arial" w:hAnsi="Arial" w:cs="Arial"/>
          <w:color w:val="00B050"/>
        </w:rPr>
        <w:t xml:space="preserve"> </w:t>
      </w:r>
      <w:r w:rsidR="00DA667C">
        <w:rPr>
          <w:rFonts w:ascii="Arial" w:hAnsi="Arial" w:cs="Arial"/>
          <w:color w:val="00B050"/>
        </w:rPr>
        <w:t xml:space="preserve">data concerning the success rates of co-reviewed proposals. It was determined that </w:t>
      </w:r>
      <w:r w:rsidR="003854A0">
        <w:rPr>
          <w:rFonts w:ascii="Arial" w:hAnsi="Arial" w:cs="Arial"/>
          <w:color w:val="00B050"/>
        </w:rPr>
        <w:t xml:space="preserve">in SEP as a whole, </w:t>
      </w:r>
      <w:r w:rsidR="00DA667C">
        <w:rPr>
          <w:rFonts w:ascii="Arial" w:hAnsi="Arial" w:cs="Arial"/>
          <w:color w:val="00B050"/>
        </w:rPr>
        <w:t xml:space="preserve">there </w:t>
      </w:r>
      <w:r w:rsidR="003854A0">
        <w:rPr>
          <w:rFonts w:ascii="Arial" w:hAnsi="Arial" w:cs="Arial"/>
          <w:color w:val="00B050"/>
        </w:rPr>
        <w:t>was</w:t>
      </w:r>
      <w:r w:rsidR="00DA667C">
        <w:rPr>
          <w:rFonts w:ascii="Arial" w:hAnsi="Arial" w:cs="Arial"/>
          <w:color w:val="00B050"/>
        </w:rPr>
        <w:t xml:space="preserve"> no significant difference between proposals reviewed by one panel and proposals </w:t>
      </w:r>
      <w:r w:rsidR="003854A0">
        <w:rPr>
          <w:rFonts w:ascii="Arial" w:hAnsi="Arial" w:cs="Arial"/>
          <w:color w:val="00B050"/>
        </w:rPr>
        <w:t>reviewed by more than one panel in FY11 (less than 1% difference in success rate). However when looking at these statistics for individual programs, the GG program was the only one to show decreased likelihood of success for proposals reviewed by more than one panel. This trend was weighted heavily by the low success of proposals co-reviewed with the HS program (where GG was the primary program). Both programs are working on addressing this, and will likely work with panelists to make sure that interdisciplinary proposals are rated fairly.</w:t>
      </w:r>
    </w:p>
    <w:p w:rsidR="006171BA" w:rsidRDefault="006171BA" w:rsidP="00E47E3B">
      <w:pPr>
        <w:suppressAutoHyphens/>
        <w:ind w:left="540"/>
        <w:rPr>
          <w:rFonts w:ascii="Arial" w:hAnsi="Arial" w:cs="Arial"/>
          <w:color w:val="00B050"/>
        </w:rPr>
      </w:pPr>
    </w:p>
    <w:p w:rsidR="005F7049" w:rsidRDefault="006171BA" w:rsidP="009B69D9">
      <w:pPr>
        <w:suppressAutoHyphens/>
        <w:ind w:left="540"/>
        <w:rPr>
          <w:rFonts w:ascii="Arial" w:hAnsi="Arial" w:cs="Arial"/>
          <w:color w:val="00B050"/>
        </w:rPr>
      </w:pPr>
      <w:r>
        <w:rPr>
          <w:rFonts w:ascii="Arial" w:hAnsi="Arial" w:cs="Arial"/>
          <w:color w:val="00B050"/>
        </w:rPr>
        <w:t xml:space="preserve">The Science Assistant was also able to look at the relationship between </w:t>
      </w:r>
      <w:r w:rsidR="00F871DC">
        <w:rPr>
          <w:rFonts w:ascii="Arial" w:hAnsi="Arial" w:cs="Arial"/>
          <w:color w:val="00B050"/>
        </w:rPr>
        <w:t xml:space="preserve">the </w:t>
      </w:r>
      <w:proofErr w:type="gramStart"/>
      <w:r w:rsidR="00F871DC">
        <w:rPr>
          <w:rFonts w:ascii="Arial" w:hAnsi="Arial" w:cs="Arial"/>
          <w:color w:val="00B050"/>
        </w:rPr>
        <w:t>number</w:t>
      </w:r>
      <w:proofErr w:type="gramEnd"/>
      <w:r w:rsidR="00F871DC">
        <w:rPr>
          <w:rFonts w:ascii="Arial" w:hAnsi="Arial" w:cs="Arial"/>
          <w:color w:val="00B050"/>
        </w:rPr>
        <w:t xml:space="preserve"> of reviews </w:t>
      </w:r>
      <w:r>
        <w:rPr>
          <w:rFonts w:ascii="Arial" w:hAnsi="Arial" w:cs="Arial"/>
          <w:color w:val="00B050"/>
        </w:rPr>
        <w:t>proposal</w:t>
      </w:r>
      <w:r w:rsidR="00F871DC">
        <w:rPr>
          <w:rFonts w:ascii="Arial" w:hAnsi="Arial" w:cs="Arial"/>
          <w:color w:val="00B050"/>
        </w:rPr>
        <w:t xml:space="preserve"> received and </w:t>
      </w:r>
      <w:r>
        <w:rPr>
          <w:rFonts w:ascii="Arial" w:hAnsi="Arial" w:cs="Arial"/>
          <w:color w:val="00B050"/>
        </w:rPr>
        <w:t>average review score</w:t>
      </w:r>
      <w:r w:rsidR="00F871DC">
        <w:rPr>
          <w:rFonts w:ascii="Arial" w:hAnsi="Arial" w:cs="Arial"/>
          <w:color w:val="00B050"/>
        </w:rPr>
        <w:t>; she</w:t>
      </w:r>
      <w:r>
        <w:rPr>
          <w:rFonts w:ascii="Arial" w:hAnsi="Arial" w:cs="Arial"/>
          <w:color w:val="00B050"/>
        </w:rPr>
        <w:t xml:space="preserve"> found no significant relatio</w:t>
      </w:r>
      <w:r w:rsidR="00F871DC">
        <w:rPr>
          <w:rFonts w:ascii="Arial" w:hAnsi="Arial" w:cs="Arial"/>
          <w:color w:val="00B050"/>
        </w:rPr>
        <w:t>nship, challenging the perception</w:t>
      </w:r>
      <w:r w:rsidR="009B69D9">
        <w:rPr>
          <w:rFonts w:ascii="Arial" w:hAnsi="Arial" w:cs="Arial"/>
          <w:color w:val="00B050"/>
        </w:rPr>
        <w:t xml:space="preserve"> that more reviews leads to a lower rating</w:t>
      </w:r>
      <w:r>
        <w:rPr>
          <w:rFonts w:ascii="Arial" w:hAnsi="Arial" w:cs="Arial"/>
          <w:color w:val="00B050"/>
        </w:rPr>
        <w:t xml:space="preserve">. </w:t>
      </w:r>
      <w:r w:rsidR="009B69D9">
        <w:rPr>
          <w:rFonts w:ascii="Arial" w:hAnsi="Arial" w:cs="Arial"/>
          <w:color w:val="00B050"/>
        </w:rPr>
        <w:t xml:space="preserve">This trend (or lack thereof) was true for both awarded and declined proposals. Further, there </w:t>
      </w:r>
      <w:r w:rsidR="00B0615E">
        <w:rPr>
          <w:rFonts w:ascii="Arial" w:hAnsi="Arial" w:cs="Arial"/>
          <w:color w:val="00B050"/>
        </w:rPr>
        <w:t>did not appear to be any significant relationship between number of reviews</w:t>
      </w:r>
      <w:r>
        <w:rPr>
          <w:rFonts w:ascii="Arial" w:hAnsi="Arial" w:cs="Arial"/>
          <w:color w:val="00B050"/>
        </w:rPr>
        <w:t xml:space="preserve"> </w:t>
      </w:r>
      <w:r w:rsidR="00B0615E">
        <w:rPr>
          <w:rFonts w:ascii="Arial" w:hAnsi="Arial" w:cs="Arial"/>
          <w:color w:val="00B050"/>
        </w:rPr>
        <w:t>and award/decline status.</w:t>
      </w:r>
    </w:p>
    <w:p w:rsidR="005F7049" w:rsidRDefault="005F7049" w:rsidP="009B69D9">
      <w:pPr>
        <w:suppressAutoHyphens/>
        <w:ind w:left="540"/>
        <w:rPr>
          <w:rFonts w:ascii="Arial" w:hAnsi="Arial" w:cs="Arial"/>
          <w:color w:val="00B050"/>
        </w:rPr>
      </w:pPr>
    </w:p>
    <w:p w:rsidR="00E47E3B" w:rsidRPr="00F871DC" w:rsidRDefault="003E0E71" w:rsidP="00F871DC">
      <w:pPr>
        <w:suppressAutoHyphens/>
        <w:ind w:left="540"/>
        <w:rPr>
          <w:rFonts w:ascii="Arial" w:hAnsi="Arial" w:cs="Arial"/>
          <w:color w:val="00B050"/>
        </w:rPr>
      </w:pPr>
      <w:r>
        <w:rPr>
          <w:rFonts w:ascii="Arial" w:hAnsi="Arial" w:cs="Arial"/>
          <w:color w:val="00B050"/>
        </w:rPr>
        <w:t>In light of this lack of correla</w:t>
      </w:r>
      <w:r w:rsidR="00F871DC">
        <w:rPr>
          <w:rFonts w:ascii="Arial" w:hAnsi="Arial" w:cs="Arial"/>
          <w:color w:val="00B050"/>
        </w:rPr>
        <w:t>tion between number of reviews</w:t>
      </w:r>
      <w:r>
        <w:rPr>
          <w:rFonts w:ascii="Arial" w:hAnsi="Arial" w:cs="Arial"/>
          <w:color w:val="00B050"/>
        </w:rPr>
        <w:t xml:space="preserve"> and average review score, we determined that it was not necessary to further investigate the effect of fractional ratings on successful proposals.  </w:t>
      </w:r>
    </w:p>
    <w:p w:rsidR="00094CF1" w:rsidRPr="00191265" w:rsidRDefault="00094CF1" w:rsidP="00094CF1">
      <w:pPr>
        <w:suppressAutoHyphens/>
        <w:ind w:left="540"/>
        <w:rPr>
          <w:rFonts w:ascii="Arial" w:hAnsi="Arial" w:cs="Arial"/>
        </w:rPr>
      </w:pPr>
    </w:p>
    <w:p w:rsidR="00191265" w:rsidRDefault="00191265" w:rsidP="001D7548">
      <w:pPr>
        <w:numPr>
          <w:ilvl w:val="0"/>
          <w:numId w:val="34"/>
        </w:numPr>
        <w:suppressAutoHyphens/>
        <w:rPr>
          <w:rFonts w:ascii="Arial" w:hAnsi="Arial" w:cs="Arial"/>
        </w:rPr>
      </w:pPr>
      <w:r w:rsidRPr="00191265">
        <w:rPr>
          <w:rFonts w:ascii="Arial" w:hAnsi="Arial" w:cs="Arial"/>
        </w:rPr>
        <w:t>We note that there appear</w:t>
      </w:r>
      <w:r w:rsidR="00316FAD">
        <w:rPr>
          <w:rFonts w:ascii="Arial" w:hAnsi="Arial" w:cs="Arial"/>
        </w:rPr>
        <w:t>s</w:t>
      </w:r>
      <w:r w:rsidRPr="00191265">
        <w:rPr>
          <w:rFonts w:ascii="Arial" w:hAnsi="Arial" w:cs="Arial"/>
        </w:rPr>
        <w:t xml:space="preserve"> to be few opportunities to secure funding for projects that may fall between </w:t>
      </w:r>
      <w:r w:rsidR="00B742AC">
        <w:rPr>
          <w:rFonts w:ascii="Arial" w:hAnsi="Arial" w:cs="Arial"/>
        </w:rPr>
        <w:t>c</w:t>
      </w:r>
      <w:r w:rsidR="00B742AC" w:rsidRPr="00191265">
        <w:rPr>
          <w:rFonts w:ascii="Arial" w:hAnsi="Arial" w:cs="Arial"/>
        </w:rPr>
        <w:t xml:space="preserve">ore grants </w:t>
      </w:r>
      <w:r w:rsidR="00B742AC">
        <w:rPr>
          <w:rFonts w:ascii="Arial" w:hAnsi="Arial" w:cs="Arial"/>
        </w:rPr>
        <w:t>(~</w:t>
      </w:r>
      <w:r w:rsidR="00B742AC" w:rsidRPr="00191265">
        <w:rPr>
          <w:rFonts w:ascii="Arial" w:hAnsi="Arial" w:cs="Arial"/>
        </w:rPr>
        <w:t>$100K/per year for 2 to 2.5 years</w:t>
      </w:r>
      <w:r w:rsidR="00B742AC">
        <w:rPr>
          <w:rFonts w:ascii="Arial" w:hAnsi="Arial" w:cs="Arial"/>
        </w:rPr>
        <w:t xml:space="preserve">) and </w:t>
      </w:r>
      <w:r w:rsidR="00B742AC" w:rsidRPr="00191265">
        <w:rPr>
          <w:rFonts w:ascii="Arial" w:hAnsi="Arial" w:cs="Arial"/>
        </w:rPr>
        <w:t>broad initiatives (e.g., the Critical Zone Observatories—CZOs)</w:t>
      </w:r>
      <w:r w:rsidR="00B742AC">
        <w:rPr>
          <w:rFonts w:ascii="Arial" w:hAnsi="Arial" w:cs="Arial"/>
        </w:rPr>
        <w:t xml:space="preserve">.  </w:t>
      </w:r>
      <w:r w:rsidR="00B742AC" w:rsidRPr="00191265">
        <w:rPr>
          <w:rFonts w:ascii="Arial" w:hAnsi="Arial" w:cs="Arial"/>
        </w:rPr>
        <w:t xml:space="preserve"> </w:t>
      </w:r>
      <w:r w:rsidRPr="00191265">
        <w:rPr>
          <w:rFonts w:ascii="Arial" w:hAnsi="Arial" w:cs="Arial"/>
        </w:rPr>
        <w:t>We think that SEP POs should be alert for opportunities that might require cross-program cooperation to fund such projects, if they find a need within the community.</w:t>
      </w:r>
    </w:p>
    <w:p w:rsidR="00B742AC" w:rsidRDefault="00B742AC" w:rsidP="00B742AC">
      <w:pPr>
        <w:suppressAutoHyphens/>
        <w:ind w:left="720"/>
        <w:rPr>
          <w:rFonts w:ascii="Arial" w:hAnsi="Arial" w:cs="Arial"/>
        </w:rPr>
      </w:pPr>
    </w:p>
    <w:p w:rsidR="00B742AC" w:rsidRPr="004E520F" w:rsidRDefault="00B742AC" w:rsidP="00B742AC">
      <w:pPr>
        <w:suppressAutoHyphens/>
        <w:ind w:left="720"/>
        <w:rPr>
          <w:rFonts w:ascii="Arial" w:hAnsi="Arial" w:cs="Arial"/>
          <w:color w:val="0000FF"/>
        </w:rPr>
      </w:pPr>
      <w:r w:rsidRPr="004E520F">
        <w:rPr>
          <w:rFonts w:ascii="Arial" w:hAnsi="Arial" w:cs="Arial"/>
          <w:color w:val="0000FF"/>
        </w:rPr>
        <w:t xml:space="preserve">The </w:t>
      </w:r>
      <w:r w:rsidR="00186AE7" w:rsidRPr="004E520F">
        <w:rPr>
          <w:rFonts w:ascii="Arial" w:hAnsi="Arial" w:cs="Arial"/>
          <w:color w:val="0000FF"/>
        </w:rPr>
        <w:t xml:space="preserve">boundaries between </w:t>
      </w:r>
      <w:r w:rsidRPr="004E520F">
        <w:rPr>
          <w:rFonts w:ascii="Arial" w:hAnsi="Arial" w:cs="Arial"/>
          <w:color w:val="0000FF"/>
        </w:rPr>
        <w:t>NSF pro</w:t>
      </w:r>
      <w:r w:rsidR="00186AE7" w:rsidRPr="004E520F">
        <w:rPr>
          <w:rFonts w:ascii="Arial" w:hAnsi="Arial" w:cs="Arial"/>
          <w:color w:val="0000FF"/>
        </w:rPr>
        <w:t>grams are</w:t>
      </w:r>
      <w:r w:rsidRPr="004E520F">
        <w:rPr>
          <w:rFonts w:ascii="Arial" w:hAnsi="Arial" w:cs="Arial"/>
          <w:color w:val="0000FF"/>
        </w:rPr>
        <w:t xml:space="preserve"> substantially more porous that the COV may have realized.  SEP </w:t>
      </w:r>
      <w:r w:rsidR="00AD110A">
        <w:rPr>
          <w:rFonts w:ascii="Arial" w:hAnsi="Arial" w:cs="Arial"/>
          <w:color w:val="0000FF"/>
        </w:rPr>
        <w:t>Program Officer</w:t>
      </w:r>
      <w:r w:rsidR="007C618F">
        <w:rPr>
          <w:rFonts w:ascii="Arial" w:hAnsi="Arial" w:cs="Arial"/>
          <w:color w:val="0000FF"/>
        </w:rPr>
        <w:t>s</w:t>
      </w:r>
      <w:r w:rsidRPr="004E520F">
        <w:rPr>
          <w:rFonts w:ascii="Arial" w:hAnsi="Arial" w:cs="Arial"/>
          <w:color w:val="0000FF"/>
        </w:rPr>
        <w:t xml:space="preserve"> are in constant communication when proposals arrive, and they likewise communicate with the rest of EAR, GEO and NSF Directorates.  Cross-Program cooperation is the norm, when such </w:t>
      </w:r>
      <w:r w:rsidR="003B66EE" w:rsidRPr="004E520F">
        <w:rPr>
          <w:rFonts w:ascii="Arial" w:hAnsi="Arial" w:cs="Arial"/>
          <w:color w:val="0000FF"/>
        </w:rPr>
        <w:t xml:space="preserve">opportunities are identified.  With this noted, the COV is correct in that there are no ready opportunities for “mid-scale” (e.g., </w:t>
      </w:r>
      <w:r w:rsidR="000145A8">
        <w:rPr>
          <w:rFonts w:ascii="Arial" w:hAnsi="Arial" w:cs="Arial"/>
          <w:color w:val="0000FF"/>
        </w:rPr>
        <w:t xml:space="preserve">up to </w:t>
      </w:r>
      <w:r w:rsidR="003B66EE" w:rsidRPr="004E520F">
        <w:rPr>
          <w:rFonts w:ascii="Arial" w:hAnsi="Arial" w:cs="Arial"/>
          <w:color w:val="0000FF"/>
        </w:rPr>
        <w:t>million/year</w:t>
      </w:r>
      <w:r w:rsidR="000145A8">
        <w:rPr>
          <w:rFonts w:ascii="Arial" w:hAnsi="Arial" w:cs="Arial"/>
          <w:color w:val="0000FF"/>
        </w:rPr>
        <w:t xml:space="preserve"> scale</w:t>
      </w:r>
      <w:r w:rsidR="003B66EE" w:rsidRPr="004E520F">
        <w:rPr>
          <w:rFonts w:ascii="Arial" w:hAnsi="Arial" w:cs="Arial"/>
          <w:color w:val="0000FF"/>
        </w:rPr>
        <w:t xml:space="preserve">) initiatives, especially those that are cross-programmatic in terms of disciplinary interest.  </w:t>
      </w:r>
      <w:r w:rsidR="003B66EE" w:rsidRPr="004E520F">
        <w:rPr>
          <w:rFonts w:ascii="Arial" w:hAnsi="Arial" w:cs="Arial"/>
          <w:color w:val="0000FF"/>
        </w:rPr>
        <w:lastRenderedPageBreak/>
        <w:t>SEP and EAR are closely examining this at present, and one of a number of solutions may be announced in FY12</w:t>
      </w:r>
      <w:r w:rsidR="004E520F">
        <w:rPr>
          <w:rFonts w:ascii="Arial" w:hAnsi="Arial" w:cs="Arial"/>
          <w:color w:val="0000FF"/>
        </w:rPr>
        <w:t>.</w:t>
      </w:r>
    </w:p>
    <w:p w:rsidR="00094CF1" w:rsidRDefault="00094CF1" w:rsidP="00094CF1">
      <w:pPr>
        <w:pStyle w:val="ListParagraph"/>
        <w:rPr>
          <w:rFonts w:ascii="Arial" w:hAnsi="Arial" w:cs="Arial"/>
        </w:rPr>
      </w:pPr>
    </w:p>
    <w:p w:rsidR="00F871DC" w:rsidRDefault="008338BD" w:rsidP="00671E4C">
      <w:pPr>
        <w:suppressAutoHyphens/>
        <w:ind w:left="540"/>
        <w:rPr>
          <w:rFonts w:ascii="Arial" w:hAnsi="Arial" w:cs="Arial"/>
          <w:color w:val="00B050"/>
        </w:rPr>
      </w:pPr>
      <w:r>
        <w:rPr>
          <w:rFonts w:ascii="Arial" w:hAnsi="Arial" w:cs="Arial"/>
          <w:color w:val="00B050"/>
        </w:rPr>
        <w:t>2012 U</w:t>
      </w:r>
      <w:r w:rsidRPr="00EE4B3B">
        <w:rPr>
          <w:rFonts w:ascii="Arial" w:hAnsi="Arial" w:cs="Arial"/>
          <w:color w:val="00B050"/>
        </w:rPr>
        <w:t xml:space="preserve">pdate: </w:t>
      </w:r>
      <w:r w:rsidR="00F871DC">
        <w:rPr>
          <w:rFonts w:ascii="Arial" w:hAnsi="Arial" w:cs="Arial"/>
          <w:color w:val="00B050"/>
        </w:rPr>
        <w:t>EAR has recently published a new funding opportunity for cross-program collaborations, Integrated Earth Systems (IES</w:t>
      </w:r>
      <w:r w:rsidR="00671E4C">
        <w:rPr>
          <w:rFonts w:ascii="Arial" w:hAnsi="Arial" w:cs="Arial"/>
          <w:color w:val="00B050"/>
        </w:rPr>
        <w:t>; NSF 12-613</w:t>
      </w:r>
      <w:r w:rsidR="00F871DC">
        <w:rPr>
          <w:rFonts w:ascii="Arial" w:hAnsi="Arial" w:cs="Arial"/>
          <w:color w:val="00B050"/>
        </w:rPr>
        <w:t xml:space="preserve">). </w:t>
      </w:r>
      <w:r w:rsidR="00671E4C">
        <w:rPr>
          <w:rFonts w:ascii="Arial" w:hAnsi="Arial" w:cs="Arial"/>
          <w:color w:val="00B050"/>
        </w:rPr>
        <w:t xml:space="preserve">This solicitation allows projects that range in size </w:t>
      </w:r>
      <w:r w:rsidR="00671E4C" w:rsidRPr="00671E4C">
        <w:rPr>
          <w:rFonts w:ascii="Arial" w:hAnsi="Arial" w:cs="Arial"/>
          <w:color w:val="00B050"/>
        </w:rPr>
        <w:t xml:space="preserve">between $1,000,000 and $3,000,000 </w:t>
      </w:r>
      <w:r w:rsidR="00671E4C">
        <w:rPr>
          <w:rFonts w:ascii="Arial" w:hAnsi="Arial" w:cs="Arial"/>
          <w:color w:val="00B050"/>
        </w:rPr>
        <w:t>and last from</w:t>
      </w:r>
      <w:r w:rsidR="00671E4C" w:rsidRPr="00671E4C">
        <w:rPr>
          <w:rFonts w:ascii="Arial" w:hAnsi="Arial" w:cs="Arial"/>
          <w:color w:val="00B050"/>
        </w:rPr>
        <w:t xml:space="preserve"> 3 to 5 years duration</w:t>
      </w:r>
      <w:r w:rsidR="00671E4C">
        <w:rPr>
          <w:rFonts w:ascii="Arial" w:hAnsi="Arial" w:cs="Arial"/>
          <w:color w:val="00B050"/>
        </w:rPr>
        <w:t xml:space="preserve">. Moreover, NSF continues to foster interdisciplinary work through its SEES programs; the latest funding opportunities focus on hazards, coastal regions, the arctic region, and sustainable chemistry. </w:t>
      </w:r>
      <w:r w:rsidR="004A547C">
        <w:rPr>
          <w:rFonts w:ascii="Arial" w:hAnsi="Arial" w:cs="Arial"/>
          <w:color w:val="00B050"/>
        </w:rPr>
        <w:t xml:space="preserve">In addition, the SGP program has revised its solicitation in response to community input; the SGP solicitation now has an addition track that focuses </w:t>
      </w:r>
      <w:r w:rsidR="004A547C" w:rsidRPr="004A547C">
        <w:rPr>
          <w:rFonts w:ascii="Arial" w:hAnsi="Arial" w:cs="Arial"/>
          <w:color w:val="00B050"/>
        </w:rPr>
        <w:t>critical questions about Earth</w:t>
      </w:r>
      <w:r w:rsidR="004A547C">
        <w:rPr>
          <w:rFonts w:ascii="Arial" w:hAnsi="Arial" w:cs="Arial"/>
          <w:color w:val="00B050"/>
        </w:rPr>
        <w:t xml:space="preserve">-Life interactions in deep-time. </w:t>
      </w:r>
      <w:r w:rsidR="00671E4C">
        <w:rPr>
          <w:rFonts w:ascii="Arial" w:hAnsi="Arial" w:cs="Arial"/>
          <w:color w:val="00B050"/>
        </w:rPr>
        <w:t>We anticipate that the SEP scientific community will be active participants in</w:t>
      </w:r>
      <w:r w:rsidR="004A547C">
        <w:rPr>
          <w:rFonts w:ascii="Arial" w:hAnsi="Arial" w:cs="Arial"/>
          <w:color w:val="00B050"/>
        </w:rPr>
        <w:t xml:space="preserve"> all t</w:t>
      </w:r>
      <w:r w:rsidR="00671E4C">
        <w:rPr>
          <w:rFonts w:ascii="Arial" w:hAnsi="Arial" w:cs="Arial"/>
          <w:color w:val="00B050"/>
        </w:rPr>
        <w:t xml:space="preserve">hese </w:t>
      </w:r>
      <w:r w:rsidR="004A547C">
        <w:rPr>
          <w:rFonts w:ascii="Arial" w:hAnsi="Arial" w:cs="Arial"/>
          <w:color w:val="00B050"/>
        </w:rPr>
        <w:t xml:space="preserve">new funding opportunities. </w:t>
      </w:r>
    </w:p>
    <w:p w:rsidR="008338BD" w:rsidRPr="00191265" w:rsidRDefault="008338BD" w:rsidP="00671E4C">
      <w:pPr>
        <w:suppressAutoHyphens/>
        <w:rPr>
          <w:rFonts w:ascii="Arial" w:hAnsi="Arial" w:cs="Arial"/>
        </w:rPr>
      </w:pPr>
    </w:p>
    <w:p w:rsidR="000447B6" w:rsidRDefault="00191265" w:rsidP="001D7548">
      <w:pPr>
        <w:numPr>
          <w:ilvl w:val="0"/>
          <w:numId w:val="34"/>
        </w:numPr>
        <w:suppressAutoHyphens/>
        <w:ind w:left="540" w:hanging="270"/>
        <w:rPr>
          <w:rFonts w:ascii="Arial" w:hAnsi="Arial" w:cs="Arial"/>
        </w:rPr>
      </w:pPr>
      <w:r w:rsidRPr="00191265">
        <w:rPr>
          <w:rFonts w:ascii="Arial" w:hAnsi="Arial" w:cs="Arial"/>
        </w:rPr>
        <w:t xml:space="preserve">The strategy of encouraging SEP investigators to participate in proposals to broad initiatives (e.g., Water Sustainability and Climate) is sound. We think that accessibility of investigators from all SEP programs to broad initiatives should be a consideration in a balanced portfolio for EAR. </w:t>
      </w:r>
    </w:p>
    <w:p w:rsidR="000447B6" w:rsidRDefault="000447B6" w:rsidP="000447B6">
      <w:pPr>
        <w:suppressAutoHyphens/>
        <w:ind w:left="540"/>
        <w:rPr>
          <w:rFonts w:ascii="Arial" w:hAnsi="Arial" w:cs="Arial"/>
        </w:rPr>
      </w:pPr>
    </w:p>
    <w:p w:rsidR="000447B6" w:rsidRDefault="000447B6" w:rsidP="000447B6">
      <w:pPr>
        <w:suppressAutoHyphens/>
        <w:ind w:left="540"/>
        <w:rPr>
          <w:rFonts w:ascii="Arial" w:hAnsi="Arial" w:cs="Arial"/>
          <w:color w:val="0000FF"/>
        </w:rPr>
      </w:pPr>
      <w:r w:rsidRPr="004E520F">
        <w:rPr>
          <w:rFonts w:ascii="Arial" w:hAnsi="Arial" w:cs="Arial"/>
          <w:color w:val="0000FF"/>
        </w:rPr>
        <w:t xml:space="preserve">New programs are developed within GEO </w:t>
      </w:r>
      <w:r w:rsidR="006203CD">
        <w:rPr>
          <w:rFonts w:ascii="Arial" w:hAnsi="Arial" w:cs="Arial"/>
          <w:color w:val="0000FF"/>
        </w:rPr>
        <w:t>guided by</w:t>
      </w:r>
      <w:r w:rsidRPr="004E520F">
        <w:rPr>
          <w:rFonts w:ascii="Arial" w:hAnsi="Arial" w:cs="Arial"/>
          <w:color w:val="0000FF"/>
        </w:rPr>
        <w:t xml:space="preserve"> community input (e.g., GEOVISION, community workshops, NRC Reports).  Once proposed</w:t>
      </w:r>
      <w:r w:rsidR="000A43C0" w:rsidRPr="004E520F">
        <w:rPr>
          <w:rFonts w:ascii="Arial" w:hAnsi="Arial" w:cs="Arial"/>
          <w:color w:val="0000FF"/>
        </w:rPr>
        <w:t xml:space="preserve"> within the GEO Directorate</w:t>
      </w:r>
      <w:r w:rsidRPr="004E520F">
        <w:rPr>
          <w:rFonts w:ascii="Arial" w:hAnsi="Arial" w:cs="Arial"/>
          <w:color w:val="0000FF"/>
        </w:rPr>
        <w:t xml:space="preserve">, the </w:t>
      </w:r>
      <w:r w:rsidR="000A43C0" w:rsidRPr="004E520F">
        <w:rPr>
          <w:rFonts w:ascii="Arial" w:hAnsi="Arial" w:cs="Arial"/>
          <w:color w:val="0000FF"/>
        </w:rPr>
        <w:t xml:space="preserve">“potential new </w:t>
      </w:r>
      <w:r w:rsidRPr="004E520F">
        <w:rPr>
          <w:rFonts w:ascii="Arial" w:hAnsi="Arial" w:cs="Arial"/>
          <w:color w:val="0000FF"/>
        </w:rPr>
        <w:t>programs</w:t>
      </w:r>
      <w:r w:rsidR="000A43C0" w:rsidRPr="004E520F">
        <w:rPr>
          <w:rFonts w:ascii="Arial" w:hAnsi="Arial" w:cs="Arial"/>
          <w:color w:val="0000FF"/>
        </w:rPr>
        <w:t>”</w:t>
      </w:r>
      <w:r w:rsidRPr="004E520F">
        <w:rPr>
          <w:rFonts w:ascii="Arial" w:hAnsi="Arial" w:cs="Arial"/>
          <w:color w:val="0000FF"/>
        </w:rPr>
        <w:t xml:space="preserve"> are considered NSF-wide, </w:t>
      </w:r>
      <w:r w:rsidR="000A43C0" w:rsidRPr="004E520F">
        <w:rPr>
          <w:rFonts w:ascii="Arial" w:hAnsi="Arial" w:cs="Arial"/>
          <w:color w:val="0000FF"/>
        </w:rPr>
        <w:t>and if it succeeds at that level,</w:t>
      </w:r>
      <w:r w:rsidRPr="004E520F">
        <w:rPr>
          <w:rFonts w:ascii="Arial" w:hAnsi="Arial" w:cs="Arial"/>
          <w:color w:val="0000FF"/>
        </w:rPr>
        <w:t xml:space="preserve"> it then </w:t>
      </w:r>
      <w:r w:rsidR="000A43C0" w:rsidRPr="004E520F">
        <w:rPr>
          <w:rFonts w:ascii="Arial" w:hAnsi="Arial" w:cs="Arial"/>
          <w:color w:val="0000FF"/>
        </w:rPr>
        <w:t xml:space="preserve">becomes part of the budget submitted </w:t>
      </w:r>
      <w:r w:rsidRPr="004E520F">
        <w:rPr>
          <w:rFonts w:ascii="Arial" w:hAnsi="Arial" w:cs="Arial"/>
          <w:color w:val="0000FF"/>
        </w:rPr>
        <w:t xml:space="preserve">to the White House (and the Office of Management and Budget).  Whereas all SEP </w:t>
      </w:r>
      <w:r w:rsidR="00AD110A">
        <w:rPr>
          <w:rFonts w:ascii="Arial" w:hAnsi="Arial" w:cs="Arial"/>
          <w:color w:val="0000FF"/>
        </w:rPr>
        <w:t>Program Officer</w:t>
      </w:r>
      <w:r w:rsidR="007C618F">
        <w:rPr>
          <w:rFonts w:ascii="Arial" w:hAnsi="Arial" w:cs="Arial"/>
          <w:color w:val="0000FF"/>
        </w:rPr>
        <w:t>s</w:t>
      </w:r>
      <w:r w:rsidRPr="004E520F">
        <w:rPr>
          <w:rFonts w:ascii="Arial" w:hAnsi="Arial" w:cs="Arial"/>
          <w:color w:val="0000FF"/>
        </w:rPr>
        <w:t xml:space="preserve"> are active in soliciting and developing new ideas</w:t>
      </w:r>
      <w:r w:rsidR="000A43C0" w:rsidRPr="004E520F">
        <w:rPr>
          <w:rFonts w:ascii="Arial" w:hAnsi="Arial" w:cs="Arial"/>
          <w:color w:val="0000FF"/>
        </w:rPr>
        <w:t xml:space="preserve"> for new programs</w:t>
      </w:r>
      <w:r w:rsidRPr="004E520F">
        <w:rPr>
          <w:rFonts w:ascii="Arial" w:hAnsi="Arial" w:cs="Arial"/>
          <w:color w:val="0000FF"/>
        </w:rPr>
        <w:t xml:space="preserve">, only a </w:t>
      </w:r>
      <w:r w:rsidR="000A43C0" w:rsidRPr="004E520F">
        <w:rPr>
          <w:rFonts w:ascii="Arial" w:hAnsi="Arial" w:cs="Arial"/>
          <w:color w:val="0000FF"/>
        </w:rPr>
        <w:t xml:space="preserve">small </w:t>
      </w:r>
      <w:r w:rsidRPr="004E520F">
        <w:rPr>
          <w:rFonts w:ascii="Arial" w:hAnsi="Arial" w:cs="Arial"/>
          <w:color w:val="0000FF"/>
        </w:rPr>
        <w:t xml:space="preserve">fraction of these ideas are eventually allocated funds and become new Program solicitations.  The present </w:t>
      </w:r>
      <w:r w:rsidR="000A43C0" w:rsidRPr="004E520F">
        <w:rPr>
          <w:rFonts w:ascii="Arial" w:hAnsi="Arial" w:cs="Arial"/>
          <w:color w:val="0000FF"/>
        </w:rPr>
        <w:t xml:space="preserve">funding opportunities </w:t>
      </w:r>
      <w:r w:rsidR="00AD110A">
        <w:rPr>
          <w:rFonts w:ascii="Arial" w:hAnsi="Arial" w:cs="Arial"/>
          <w:color w:val="0000FF"/>
        </w:rPr>
        <w:t>are</w:t>
      </w:r>
      <w:r w:rsidRPr="004E520F">
        <w:rPr>
          <w:rFonts w:ascii="Arial" w:hAnsi="Arial" w:cs="Arial"/>
          <w:color w:val="0000FF"/>
        </w:rPr>
        <w:t xml:space="preserve"> </w:t>
      </w:r>
      <w:r w:rsidR="006203CD">
        <w:rPr>
          <w:rFonts w:ascii="Arial" w:hAnsi="Arial" w:cs="Arial"/>
          <w:color w:val="0000FF"/>
        </w:rPr>
        <w:t xml:space="preserve">solely </w:t>
      </w:r>
      <w:r w:rsidRPr="004E520F">
        <w:rPr>
          <w:rFonts w:ascii="Arial" w:hAnsi="Arial" w:cs="Arial"/>
          <w:color w:val="0000FF"/>
        </w:rPr>
        <w:t xml:space="preserve">a function of the success of individual communities and </w:t>
      </w:r>
      <w:r w:rsidR="00AD110A">
        <w:rPr>
          <w:rFonts w:ascii="Arial" w:hAnsi="Arial" w:cs="Arial"/>
          <w:color w:val="0000FF"/>
        </w:rPr>
        <w:t>Program Officer</w:t>
      </w:r>
      <w:r w:rsidR="007C618F">
        <w:rPr>
          <w:rFonts w:ascii="Arial" w:hAnsi="Arial" w:cs="Arial"/>
          <w:color w:val="0000FF"/>
        </w:rPr>
        <w:t>s</w:t>
      </w:r>
      <w:r w:rsidRPr="004E520F">
        <w:rPr>
          <w:rFonts w:ascii="Arial" w:hAnsi="Arial" w:cs="Arial"/>
          <w:color w:val="0000FF"/>
        </w:rPr>
        <w:t xml:space="preserve"> in advocating the science and its alignment with government priorities.</w:t>
      </w:r>
      <w:r w:rsidR="000A43C0" w:rsidRPr="004E520F">
        <w:rPr>
          <w:rFonts w:ascii="Arial" w:hAnsi="Arial" w:cs="Arial"/>
          <w:color w:val="0000FF"/>
        </w:rPr>
        <w:t xml:space="preserve">  </w:t>
      </w:r>
      <w:r w:rsidR="000A43C0" w:rsidRPr="00AD110A">
        <w:rPr>
          <w:rFonts w:ascii="Arial" w:hAnsi="Arial" w:cs="Arial"/>
          <w:b/>
          <w:color w:val="0000FF"/>
        </w:rPr>
        <w:t xml:space="preserve">Whenever SEP and EAR identifies communities that have not been able to participate in recent interdisciplinary opportunities, a special effort is expended to champion initiatives that </w:t>
      </w:r>
      <w:r w:rsidR="00AD110A">
        <w:rPr>
          <w:rFonts w:ascii="Arial" w:hAnsi="Arial" w:cs="Arial"/>
          <w:b/>
          <w:color w:val="0000FF"/>
        </w:rPr>
        <w:t>serve this specific community</w:t>
      </w:r>
      <w:r w:rsidR="000A43C0" w:rsidRPr="00AD110A">
        <w:rPr>
          <w:rFonts w:ascii="Arial" w:hAnsi="Arial" w:cs="Arial"/>
          <w:b/>
          <w:color w:val="0000FF"/>
        </w:rPr>
        <w:t>.</w:t>
      </w:r>
      <w:r w:rsidR="000A43C0" w:rsidRPr="004E520F">
        <w:rPr>
          <w:rFonts w:ascii="Arial" w:hAnsi="Arial" w:cs="Arial"/>
          <w:color w:val="0000FF"/>
        </w:rPr>
        <w:t xml:space="preserve">  FESD is a great example of an initiative at the nexus of accessibility to multiple EAR/GEO communities and alignment with government priorities.</w:t>
      </w:r>
      <w:r w:rsidR="007C7382" w:rsidRPr="004E520F">
        <w:rPr>
          <w:rFonts w:ascii="Arial" w:hAnsi="Arial" w:cs="Arial"/>
          <w:color w:val="0000FF"/>
        </w:rPr>
        <w:t xml:space="preserve">  There are a number of new initiatives </w:t>
      </w:r>
      <w:r w:rsidR="00941051" w:rsidRPr="004E520F">
        <w:rPr>
          <w:rFonts w:ascii="Arial" w:hAnsi="Arial" w:cs="Arial"/>
          <w:color w:val="0000FF"/>
        </w:rPr>
        <w:t>in the mill</w:t>
      </w:r>
      <w:r w:rsidR="007C7382" w:rsidRPr="004E520F">
        <w:rPr>
          <w:rFonts w:ascii="Arial" w:hAnsi="Arial" w:cs="Arial"/>
          <w:color w:val="0000FF"/>
        </w:rPr>
        <w:t xml:space="preserve"> at present, and if those are successful, a number of SEP disciplinary communities </w:t>
      </w:r>
      <w:r w:rsidR="00941051" w:rsidRPr="004E520F">
        <w:rPr>
          <w:rFonts w:ascii="Arial" w:hAnsi="Arial" w:cs="Arial"/>
          <w:color w:val="0000FF"/>
        </w:rPr>
        <w:t>will benefit.</w:t>
      </w:r>
      <w:r w:rsidR="007C7382" w:rsidRPr="004E520F">
        <w:rPr>
          <w:rFonts w:ascii="Arial" w:hAnsi="Arial" w:cs="Arial"/>
          <w:color w:val="0000FF"/>
        </w:rPr>
        <w:t xml:space="preserve"> </w:t>
      </w:r>
      <w:r w:rsidRPr="004E520F">
        <w:rPr>
          <w:rFonts w:ascii="Arial" w:hAnsi="Arial" w:cs="Arial"/>
          <w:color w:val="0000FF"/>
        </w:rPr>
        <w:t xml:space="preserve">  </w:t>
      </w:r>
    </w:p>
    <w:p w:rsidR="008338BD" w:rsidRDefault="008338BD" w:rsidP="000447B6">
      <w:pPr>
        <w:suppressAutoHyphens/>
        <w:ind w:left="540"/>
        <w:rPr>
          <w:rFonts w:ascii="Arial" w:hAnsi="Arial" w:cs="Arial"/>
          <w:color w:val="0000FF"/>
        </w:rPr>
      </w:pPr>
    </w:p>
    <w:p w:rsidR="008338BD" w:rsidRPr="00127CC4" w:rsidRDefault="008338BD" w:rsidP="00127CC4">
      <w:pPr>
        <w:suppressAutoHyphens/>
        <w:ind w:left="540"/>
        <w:rPr>
          <w:rFonts w:ascii="Arial" w:hAnsi="Arial" w:cs="Arial"/>
          <w:color w:val="00B050"/>
        </w:rPr>
      </w:pPr>
      <w:r>
        <w:rPr>
          <w:rFonts w:ascii="Arial" w:hAnsi="Arial" w:cs="Arial"/>
          <w:color w:val="00B050"/>
        </w:rPr>
        <w:t>2012 U</w:t>
      </w:r>
      <w:r w:rsidRPr="00EE4B3B">
        <w:rPr>
          <w:rFonts w:ascii="Arial" w:hAnsi="Arial" w:cs="Arial"/>
          <w:color w:val="00B050"/>
        </w:rPr>
        <w:t>pdate:</w:t>
      </w:r>
      <w:r>
        <w:rPr>
          <w:rFonts w:ascii="Arial" w:hAnsi="Arial" w:cs="Arial"/>
          <w:color w:val="00B050"/>
        </w:rPr>
        <w:t xml:space="preserve"> </w:t>
      </w:r>
      <w:r w:rsidR="004A547C">
        <w:rPr>
          <w:rFonts w:ascii="Arial" w:hAnsi="Arial" w:cs="Arial"/>
          <w:color w:val="00B050"/>
        </w:rPr>
        <w:t>As noted above, during</w:t>
      </w:r>
      <w:r w:rsidR="00DE1780">
        <w:rPr>
          <w:rFonts w:ascii="Arial" w:hAnsi="Arial" w:cs="Arial"/>
          <w:color w:val="00B050"/>
        </w:rPr>
        <w:t xml:space="preserve"> this</w:t>
      </w:r>
      <w:r w:rsidR="004A547C">
        <w:rPr>
          <w:rFonts w:ascii="Arial" w:hAnsi="Arial" w:cs="Arial"/>
          <w:color w:val="00B050"/>
        </w:rPr>
        <w:t xml:space="preserve"> fiscal year several new</w:t>
      </w:r>
      <w:r w:rsidR="00FC31FE">
        <w:rPr>
          <w:rFonts w:ascii="Arial" w:hAnsi="Arial" w:cs="Arial"/>
          <w:color w:val="00B050"/>
        </w:rPr>
        <w:t xml:space="preserve"> interdisciplinary</w:t>
      </w:r>
      <w:r w:rsidR="004A547C">
        <w:rPr>
          <w:rFonts w:ascii="Arial" w:hAnsi="Arial" w:cs="Arial"/>
          <w:color w:val="00B050"/>
        </w:rPr>
        <w:t xml:space="preserve"> funding opportunities were announced</w:t>
      </w:r>
      <w:r w:rsidR="00DE1780">
        <w:rPr>
          <w:rFonts w:ascii="Arial" w:hAnsi="Arial" w:cs="Arial"/>
          <w:color w:val="00B050"/>
        </w:rPr>
        <w:t xml:space="preserve"> </w:t>
      </w:r>
      <w:r w:rsidR="00127CC4">
        <w:rPr>
          <w:rFonts w:ascii="Arial" w:hAnsi="Arial" w:cs="Arial"/>
          <w:color w:val="00B050"/>
        </w:rPr>
        <w:t xml:space="preserve">that are </w:t>
      </w:r>
      <w:r w:rsidR="00DE1780">
        <w:rPr>
          <w:rFonts w:ascii="Arial" w:hAnsi="Arial" w:cs="Arial"/>
          <w:color w:val="00B050"/>
        </w:rPr>
        <w:t xml:space="preserve">of interest to SEP investigators: Hazards SEES </w:t>
      </w:r>
      <w:r w:rsidR="00127CC4">
        <w:rPr>
          <w:rFonts w:ascii="Arial" w:hAnsi="Arial" w:cs="Arial"/>
          <w:color w:val="00B050"/>
        </w:rPr>
        <w:t>NSF</w:t>
      </w:r>
      <w:r w:rsidR="00DE1780">
        <w:rPr>
          <w:rFonts w:ascii="Arial" w:hAnsi="Arial" w:cs="Arial"/>
          <w:color w:val="00B050"/>
        </w:rPr>
        <w:t>12-6</w:t>
      </w:r>
      <w:r w:rsidR="00127CC4">
        <w:rPr>
          <w:rFonts w:ascii="Arial" w:hAnsi="Arial" w:cs="Arial"/>
          <w:color w:val="00B050"/>
        </w:rPr>
        <w:t>10</w:t>
      </w:r>
      <w:r w:rsidR="00FC31FE">
        <w:rPr>
          <w:rFonts w:ascii="Arial" w:hAnsi="Arial" w:cs="Arial"/>
          <w:color w:val="00B050"/>
        </w:rPr>
        <w:t>, Coastal</w:t>
      </w:r>
      <w:r w:rsidR="00DE1780">
        <w:rPr>
          <w:rFonts w:ascii="Arial" w:hAnsi="Arial" w:cs="Arial"/>
          <w:color w:val="00B050"/>
        </w:rPr>
        <w:t xml:space="preserve"> SEES </w:t>
      </w:r>
      <w:r w:rsidR="00127CC4">
        <w:rPr>
          <w:rFonts w:ascii="Arial" w:hAnsi="Arial" w:cs="Arial"/>
          <w:color w:val="00B050"/>
        </w:rPr>
        <w:t>NSF</w:t>
      </w:r>
      <w:r w:rsidR="00DE1780">
        <w:rPr>
          <w:rFonts w:ascii="Arial" w:hAnsi="Arial" w:cs="Arial"/>
          <w:color w:val="00B050"/>
        </w:rPr>
        <w:t>12-</w:t>
      </w:r>
      <w:r w:rsidR="00FC31FE">
        <w:rPr>
          <w:rFonts w:ascii="Arial" w:hAnsi="Arial" w:cs="Arial"/>
          <w:color w:val="00B050"/>
        </w:rPr>
        <w:t>594</w:t>
      </w:r>
      <w:r w:rsidR="00DE1780">
        <w:rPr>
          <w:rFonts w:ascii="Arial" w:hAnsi="Arial" w:cs="Arial"/>
          <w:color w:val="00B050"/>
        </w:rPr>
        <w:t>, Integrated Earth System Sciences</w:t>
      </w:r>
      <w:r w:rsidR="00127CC4">
        <w:rPr>
          <w:rFonts w:ascii="Arial" w:hAnsi="Arial" w:cs="Arial"/>
          <w:color w:val="00B050"/>
        </w:rPr>
        <w:t xml:space="preserve"> NSF12-613, </w:t>
      </w:r>
      <w:r w:rsidR="00FC31FE">
        <w:rPr>
          <w:rFonts w:ascii="Arial" w:hAnsi="Arial" w:cs="Arial"/>
          <w:color w:val="00B050"/>
        </w:rPr>
        <w:t>SusChEM</w:t>
      </w:r>
      <w:r w:rsidR="00127CC4">
        <w:rPr>
          <w:rFonts w:ascii="Arial" w:hAnsi="Arial" w:cs="Arial"/>
          <w:color w:val="00B050"/>
        </w:rPr>
        <w:t xml:space="preserve"> NSF12-</w:t>
      </w:r>
      <w:r w:rsidR="00FC31FE">
        <w:rPr>
          <w:rFonts w:ascii="Arial" w:hAnsi="Arial" w:cs="Arial"/>
          <w:color w:val="00B050"/>
        </w:rPr>
        <w:t>097</w:t>
      </w:r>
      <w:r w:rsidR="00127CC4">
        <w:rPr>
          <w:rFonts w:ascii="Arial" w:hAnsi="Arial" w:cs="Arial"/>
          <w:color w:val="00B050"/>
        </w:rPr>
        <w:t xml:space="preserve">. In addition, a new CZO solicitation was released (NSF12-575) that seeks to establish a networked set of CZOs. </w:t>
      </w:r>
    </w:p>
    <w:p w:rsidR="00094CF1" w:rsidRDefault="00094CF1" w:rsidP="00941051">
      <w:pPr>
        <w:pStyle w:val="ListParagraph"/>
        <w:ind w:left="0"/>
        <w:rPr>
          <w:rFonts w:ascii="Arial" w:hAnsi="Arial" w:cs="Arial"/>
        </w:rPr>
      </w:pPr>
    </w:p>
    <w:p w:rsidR="00191265" w:rsidRDefault="00191265" w:rsidP="00941051">
      <w:pPr>
        <w:numPr>
          <w:ilvl w:val="0"/>
          <w:numId w:val="35"/>
        </w:numPr>
        <w:suppressAutoHyphens/>
        <w:rPr>
          <w:rFonts w:ascii="Arial" w:hAnsi="Arial" w:cs="Arial"/>
        </w:rPr>
      </w:pPr>
      <w:r w:rsidRPr="00191265">
        <w:rPr>
          <w:rFonts w:ascii="Arial" w:hAnsi="Arial" w:cs="Arial"/>
        </w:rPr>
        <w:t>Participation and funding of minority PIs appears to be relatively static across recent years. We recommend that aggressive measures continue to be taken and new ideas explored. As highlighted in O’Connell and Holmes (June 2011,</w:t>
      </w:r>
      <w:r w:rsidRPr="00191265">
        <w:rPr>
          <w:rFonts w:ascii="Arial" w:hAnsi="Arial" w:cs="Arial"/>
          <w:i/>
        </w:rPr>
        <w:t>GSA Today 21</w:t>
      </w:r>
      <w:r w:rsidRPr="00191265">
        <w:rPr>
          <w:rFonts w:ascii="Arial" w:hAnsi="Arial" w:cs="Arial"/>
        </w:rPr>
        <w:t>: 52-53), a continued multifaceted approach seem to be the best way forward. More attention should also continue to be on the overall geosciences pipeline (though this is a much broader issue).</w:t>
      </w:r>
    </w:p>
    <w:p w:rsidR="00941051" w:rsidRDefault="00941051" w:rsidP="00941051">
      <w:pPr>
        <w:suppressAutoHyphens/>
        <w:ind w:left="360"/>
        <w:rPr>
          <w:rFonts w:ascii="Arial" w:hAnsi="Arial" w:cs="Arial"/>
        </w:rPr>
      </w:pPr>
    </w:p>
    <w:p w:rsidR="00B44E00" w:rsidRDefault="00B44E00" w:rsidP="00B44E00">
      <w:pPr>
        <w:suppressAutoHyphens/>
        <w:ind w:left="720"/>
        <w:rPr>
          <w:rFonts w:ascii="Arial" w:hAnsi="Arial" w:cs="Arial"/>
          <w:color w:val="0000FF"/>
        </w:rPr>
      </w:pPr>
      <w:r>
        <w:rPr>
          <w:rFonts w:ascii="Arial" w:hAnsi="Arial" w:cs="Arial"/>
          <w:color w:val="0000FF"/>
        </w:rPr>
        <w:t xml:space="preserve">The COV comments are well-taken, and we will simultaneously pursue a three-pronged approach: </w:t>
      </w:r>
    </w:p>
    <w:p w:rsidR="00B44E00" w:rsidRDefault="00B44E00" w:rsidP="00B44E00">
      <w:pPr>
        <w:suppressAutoHyphens/>
        <w:ind w:left="720"/>
        <w:rPr>
          <w:rFonts w:ascii="Arial" w:hAnsi="Arial" w:cs="Arial"/>
          <w:color w:val="0000FF"/>
        </w:rPr>
      </w:pPr>
    </w:p>
    <w:p w:rsidR="00B44E00" w:rsidRDefault="00B44E00" w:rsidP="00B44E00">
      <w:pPr>
        <w:pStyle w:val="ListParagraph"/>
        <w:numPr>
          <w:ilvl w:val="0"/>
          <w:numId w:val="44"/>
        </w:numPr>
        <w:suppressAutoHyphens/>
        <w:contextualSpacing/>
        <w:rPr>
          <w:rFonts w:ascii="Arial" w:hAnsi="Arial" w:cs="Arial"/>
          <w:color w:val="0000FF"/>
        </w:rPr>
      </w:pPr>
      <w:r>
        <w:rPr>
          <w:rFonts w:ascii="Arial" w:hAnsi="Arial" w:cs="Arial"/>
          <w:color w:val="0000FF"/>
        </w:rPr>
        <w:t>Internal Activities: SEP will commit to engage other sections within NSF that can assist us on being more effective in reaching our goals of broadening participation by:</w:t>
      </w:r>
    </w:p>
    <w:p w:rsidR="00B44E00" w:rsidRDefault="00B44E00" w:rsidP="00B44E00">
      <w:pPr>
        <w:pStyle w:val="ListParagraph"/>
        <w:numPr>
          <w:ilvl w:val="1"/>
          <w:numId w:val="44"/>
        </w:numPr>
        <w:suppressAutoHyphens/>
        <w:contextualSpacing/>
        <w:rPr>
          <w:rFonts w:ascii="Arial" w:hAnsi="Arial" w:cs="Arial"/>
          <w:color w:val="0000FF"/>
        </w:rPr>
      </w:pPr>
      <w:r>
        <w:rPr>
          <w:rFonts w:ascii="Arial" w:hAnsi="Arial" w:cs="Arial"/>
          <w:color w:val="0000FF"/>
        </w:rPr>
        <w:t xml:space="preserve">Being engaged in NSF wide outreach efforts; </w:t>
      </w:r>
    </w:p>
    <w:p w:rsidR="00B44E00" w:rsidRDefault="008671C7" w:rsidP="00B44E00">
      <w:pPr>
        <w:pStyle w:val="ListParagraph"/>
        <w:numPr>
          <w:ilvl w:val="1"/>
          <w:numId w:val="44"/>
        </w:numPr>
        <w:suppressAutoHyphens/>
        <w:contextualSpacing/>
        <w:rPr>
          <w:rFonts w:ascii="Arial" w:hAnsi="Arial" w:cs="Arial"/>
          <w:color w:val="0000FF"/>
        </w:rPr>
      </w:pPr>
      <w:r>
        <w:rPr>
          <w:rFonts w:ascii="Arial" w:hAnsi="Arial" w:cs="Arial"/>
          <w:color w:val="0000FF"/>
        </w:rPr>
        <w:t xml:space="preserve">Enhancing our understanding of </w:t>
      </w:r>
      <w:r w:rsidR="00B44E00">
        <w:rPr>
          <w:rFonts w:ascii="Arial" w:hAnsi="Arial" w:cs="Arial"/>
          <w:color w:val="0000FF"/>
        </w:rPr>
        <w:t>the science of broadening participation;</w:t>
      </w:r>
    </w:p>
    <w:p w:rsidR="00B44E00" w:rsidRDefault="00B44E00" w:rsidP="00B44E00">
      <w:pPr>
        <w:pStyle w:val="ListParagraph"/>
        <w:numPr>
          <w:ilvl w:val="1"/>
          <w:numId w:val="44"/>
        </w:numPr>
        <w:suppressAutoHyphens/>
        <w:contextualSpacing/>
        <w:rPr>
          <w:rFonts w:ascii="Arial" w:hAnsi="Arial" w:cs="Arial"/>
          <w:color w:val="0000FF"/>
        </w:rPr>
      </w:pPr>
      <w:r>
        <w:rPr>
          <w:rFonts w:ascii="Arial" w:hAnsi="Arial" w:cs="Arial"/>
          <w:color w:val="0000FF"/>
        </w:rPr>
        <w:t xml:space="preserve">Being trained on debriefing panels on implicit bias. </w:t>
      </w:r>
    </w:p>
    <w:p w:rsidR="00B44E00" w:rsidRDefault="00B44E00" w:rsidP="00B44E00">
      <w:pPr>
        <w:pStyle w:val="ListParagraph"/>
        <w:suppressAutoHyphens/>
        <w:ind w:left="1800"/>
        <w:contextualSpacing/>
        <w:rPr>
          <w:rFonts w:ascii="Arial" w:hAnsi="Arial" w:cs="Arial"/>
          <w:color w:val="0000FF"/>
        </w:rPr>
      </w:pPr>
    </w:p>
    <w:p w:rsidR="00B44E00" w:rsidRDefault="00B44E00" w:rsidP="00B44E00">
      <w:pPr>
        <w:pStyle w:val="ListParagraph"/>
        <w:numPr>
          <w:ilvl w:val="0"/>
          <w:numId w:val="44"/>
        </w:numPr>
        <w:suppressAutoHyphens/>
        <w:contextualSpacing/>
        <w:rPr>
          <w:rFonts w:ascii="Arial" w:hAnsi="Arial" w:cs="Arial"/>
          <w:color w:val="0000FF"/>
        </w:rPr>
      </w:pPr>
      <w:r>
        <w:rPr>
          <w:rFonts w:ascii="Arial" w:hAnsi="Arial" w:cs="Arial"/>
          <w:color w:val="0000FF"/>
        </w:rPr>
        <w:t xml:space="preserve">Review Process: SEP will consistently seek reviewers and panelists that provide the disciplinary expertise needed to evaluate proposals and at the same time we will expand the reviewer/panelist pool to represent the desired diverse set of proposers by: </w:t>
      </w:r>
    </w:p>
    <w:p w:rsidR="00B44E00" w:rsidRDefault="00B44E00" w:rsidP="00B44E00">
      <w:pPr>
        <w:pStyle w:val="ListParagraph"/>
        <w:numPr>
          <w:ilvl w:val="1"/>
          <w:numId w:val="44"/>
        </w:numPr>
        <w:suppressAutoHyphens/>
        <w:contextualSpacing/>
        <w:rPr>
          <w:rFonts w:ascii="Arial" w:hAnsi="Arial" w:cs="Arial"/>
          <w:color w:val="0000FF"/>
        </w:rPr>
      </w:pPr>
      <w:r>
        <w:rPr>
          <w:rFonts w:ascii="Arial" w:hAnsi="Arial" w:cs="Arial"/>
          <w:color w:val="0000FF"/>
        </w:rPr>
        <w:t>Using NSF databases and other databases available to the scientific community;</w:t>
      </w:r>
    </w:p>
    <w:p w:rsidR="00B44E00" w:rsidRDefault="00B44E00" w:rsidP="00B44E00">
      <w:pPr>
        <w:pStyle w:val="ListParagraph"/>
        <w:numPr>
          <w:ilvl w:val="1"/>
          <w:numId w:val="44"/>
        </w:numPr>
        <w:suppressAutoHyphens/>
        <w:contextualSpacing/>
        <w:rPr>
          <w:rFonts w:ascii="Arial" w:hAnsi="Arial" w:cs="Arial"/>
          <w:color w:val="0000FF"/>
        </w:rPr>
      </w:pPr>
      <w:r>
        <w:rPr>
          <w:rFonts w:ascii="Arial" w:hAnsi="Arial" w:cs="Arial"/>
          <w:color w:val="0000FF"/>
        </w:rPr>
        <w:t>Constituting panels that are diverse from multiple perspectives;</w:t>
      </w:r>
    </w:p>
    <w:p w:rsidR="00B44E00" w:rsidRDefault="00B44E00" w:rsidP="00B44E00">
      <w:pPr>
        <w:pStyle w:val="ListParagraph"/>
        <w:numPr>
          <w:ilvl w:val="1"/>
          <w:numId w:val="44"/>
        </w:numPr>
        <w:suppressAutoHyphens/>
        <w:contextualSpacing/>
        <w:rPr>
          <w:rFonts w:ascii="Arial" w:hAnsi="Arial" w:cs="Arial"/>
          <w:color w:val="0000FF"/>
        </w:rPr>
      </w:pPr>
      <w:r>
        <w:rPr>
          <w:rFonts w:ascii="Arial" w:hAnsi="Arial" w:cs="Arial"/>
          <w:color w:val="0000FF"/>
        </w:rPr>
        <w:t>Briefing each SEP panel on implicit bias at beginning of panel meeting.</w:t>
      </w:r>
    </w:p>
    <w:p w:rsidR="00B44E00" w:rsidRDefault="00B44E00" w:rsidP="00B44E00">
      <w:pPr>
        <w:pStyle w:val="ListParagraph"/>
        <w:suppressAutoHyphens/>
        <w:ind w:left="1800"/>
        <w:contextualSpacing/>
        <w:rPr>
          <w:rFonts w:ascii="Arial" w:hAnsi="Arial" w:cs="Arial"/>
          <w:color w:val="0000FF"/>
        </w:rPr>
      </w:pPr>
    </w:p>
    <w:p w:rsidR="00B44E00" w:rsidRDefault="00B44E00" w:rsidP="00B44E00">
      <w:pPr>
        <w:pStyle w:val="ListParagraph"/>
        <w:numPr>
          <w:ilvl w:val="0"/>
          <w:numId w:val="44"/>
        </w:numPr>
        <w:suppressAutoHyphens/>
        <w:contextualSpacing/>
        <w:rPr>
          <w:rFonts w:ascii="Arial" w:hAnsi="Arial" w:cs="Arial"/>
          <w:color w:val="0000FF"/>
        </w:rPr>
      </w:pPr>
      <w:r>
        <w:rPr>
          <w:rFonts w:ascii="Arial" w:hAnsi="Arial" w:cs="Arial"/>
          <w:color w:val="0000FF"/>
        </w:rPr>
        <w:t>Outreach to the scientific community: SEP will actively seek outreach opportunities to engage scientists that are traditionally not part of the SEP PI pool. SEP Program Officers will:</w:t>
      </w:r>
    </w:p>
    <w:p w:rsidR="00B44E00" w:rsidRDefault="00B44E00" w:rsidP="00B44E00">
      <w:pPr>
        <w:pStyle w:val="ListParagraph"/>
        <w:numPr>
          <w:ilvl w:val="1"/>
          <w:numId w:val="44"/>
        </w:numPr>
        <w:suppressAutoHyphens/>
        <w:contextualSpacing/>
        <w:rPr>
          <w:rFonts w:ascii="Arial" w:hAnsi="Arial" w:cs="Arial"/>
          <w:color w:val="0000FF"/>
        </w:rPr>
      </w:pPr>
      <w:r>
        <w:rPr>
          <w:rFonts w:ascii="Arial" w:hAnsi="Arial" w:cs="Arial"/>
          <w:color w:val="0000FF"/>
        </w:rPr>
        <w:t>Participate in visits to NSF organized for institutions that focus on broadening participation;</w:t>
      </w:r>
    </w:p>
    <w:p w:rsidR="00B44E00" w:rsidRDefault="00B44E00" w:rsidP="00B44E00">
      <w:pPr>
        <w:pStyle w:val="ListParagraph"/>
        <w:numPr>
          <w:ilvl w:val="1"/>
          <w:numId w:val="44"/>
        </w:numPr>
        <w:suppressAutoHyphens/>
        <w:contextualSpacing/>
        <w:rPr>
          <w:rFonts w:ascii="Arial" w:hAnsi="Arial" w:cs="Arial"/>
          <w:color w:val="0000FF"/>
        </w:rPr>
      </w:pPr>
      <w:r>
        <w:rPr>
          <w:rFonts w:ascii="Arial" w:hAnsi="Arial" w:cs="Arial"/>
          <w:color w:val="0000FF"/>
        </w:rPr>
        <w:t xml:space="preserve">Seek opportunities to visit academic and research institutions that serve students from under-represented backgrounds in science to communicate how relevant “traditional” disciplines are to SEP sciences. </w:t>
      </w:r>
    </w:p>
    <w:p w:rsidR="00094CF1" w:rsidRDefault="00094CF1" w:rsidP="002D0EE3">
      <w:pPr>
        <w:pStyle w:val="ListParagraph"/>
        <w:ind w:left="0"/>
        <w:rPr>
          <w:rFonts w:ascii="Arial" w:hAnsi="Arial" w:cs="Arial"/>
          <w:color w:val="0000FF"/>
        </w:rPr>
      </w:pPr>
    </w:p>
    <w:p w:rsidR="00C23392" w:rsidRDefault="00C23392" w:rsidP="00C23392">
      <w:pPr>
        <w:suppressAutoHyphens/>
        <w:ind w:left="540"/>
        <w:rPr>
          <w:rFonts w:ascii="Arial" w:hAnsi="Arial" w:cs="Arial"/>
          <w:color w:val="00B050"/>
        </w:rPr>
      </w:pPr>
      <w:r>
        <w:rPr>
          <w:rFonts w:ascii="Arial" w:hAnsi="Arial" w:cs="Arial"/>
          <w:color w:val="00B050"/>
        </w:rPr>
        <w:t>2012 U</w:t>
      </w:r>
      <w:r w:rsidRPr="00EE4B3B">
        <w:rPr>
          <w:rFonts w:ascii="Arial" w:hAnsi="Arial" w:cs="Arial"/>
          <w:color w:val="00B050"/>
        </w:rPr>
        <w:t xml:space="preserve">pdate: </w:t>
      </w:r>
      <w:r w:rsidR="006E01FF">
        <w:rPr>
          <w:rFonts w:ascii="Arial" w:hAnsi="Arial" w:cs="Arial"/>
          <w:color w:val="00B050"/>
        </w:rPr>
        <w:t xml:space="preserve">SEP was engaged in several activities in the last year that continue address the issue of broadening participation. Although, we recognize that there is still a lot of work that needs to be done. </w:t>
      </w:r>
      <w:r w:rsidR="00BB7148">
        <w:rPr>
          <w:rFonts w:ascii="Arial" w:hAnsi="Arial" w:cs="Arial"/>
          <w:color w:val="00B050"/>
        </w:rPr>
        <w:t>EAR staff participated in a half-day workshop on implicit bias. SEP panels continue to be briefed on implicit bias at the beginning of the meeting by program directors and Section Head.</w:t>
      </w:r>
    </w:p>
    <w:p w:rsidR="00C23392" w:rsidRDefault="00C23392" w:rsidP="002D0EE3">
      <w:pPr>
        <w:pStyle w:val="ListParagraph"/>
        <w:ind w:left="0"/>
        <w:rPr>
          <w:rFonts w:ascii="Arial" w:hAnsi="Arial" w:cs="Arial"/>
          <w:color w:val="0000FF"/>
        </w:rPr>
      </w:pPr>
    </w:p>
    <w:p w:rsidR="00C23392" w:rsidRPr="004E520F" w:rsidRDefault="00C23392" w:rsidP="002D0EE3">
      <w:pPr>
        <w:pStyle w:val="ListParagraph"/>
        <w:ind w:left="0"/>
        <w:rPr>
          <w:rFonts w:ascii="Arial" w:hAnsi="Arial" w:cs="Arial"/>
          <w:color w:val="0000FF"/>
        </w:rPr>
      </w:pPr>
    </w:p>
    <w:p w:rsidR="00191265" w:rsidRDefault="00191265" w:rsidP="00FE67F4">
      <w:pPr>
        <w:numPr>
          <w:ilvl w:val="0"/>
          <w:numId w:val="38"/>
        </w:numPr>
        <w:suppressAutoHyphens/>
        <w:rPr>
          <w:rFonts w:ascii="Arial" w:hAnsi="Arial" w:cs="Arial"/>
        </w:rPr>
      </w:pPr>
      <w:r w:rsidRPr="00191265">
        <w:rPr>
          <w:rFonts w:ascii="Arial" w:hAnsi="Arial" w:cs="Arial"/>
        </w:rPr>
        <w:t>Participation in international conferences is very important for the POs to maintain connection with the community and to learn where the frontiers of the field are headed. We recommend that such participation continue to be valued and supported.</w:t>
      </w:r>
    </w:p>
    <w:p w:rsidR="002D0EE3" w:rsidRDefault="002D0EE3" w:rsidP="002D0EE3">
      <w:pPr>
        <w:suppressAutoHyphens/>
        <w:ind w:left="540"/>
        <w:rPr>
          <w:rFonts w:ascii="Arial" w:hAnsi="Arial" w:cs="Arial"/>
        </w:rPr>
      </w:pPr>
    </w:p>
    <w:p w:rsidR="002D0EE3" w:rsidRDefault="002D0EE3" w:rsidP="002D0EE3">
      <w:pPr>
        <w:suppressAutoHyphens/>
        <w:ind w:left="540"/>
        <w:rPr>
          <w:rFonts w:ascii="Arial" w:hAnsi="Arial" w:cs="Arial"/>
          <w:color w:val="0000FF"/>
        </w:rPr>
      </w:pPr>
      <w:r w:rsidRPr="004E520F">
        <w:rPr>
          <w:rFonts w:ascii="Arial" w:hAnsi="Arial" w:cs="Arial"/>
          <w:color w:val="0000FF"/>
        </w:rPr>
        <w:t xml:space="preserve">NSF </w:t>
      </w:r>
      <w:r w:rsidR="006964AB" w:rsidRPr="004E520F">
        <w:rPr>
          <w:rFonts w:ascii="Arial" w:hAnsi="Arial" w:cs="Arial"/>
          <w:color w:val="0000FF"/>
        </w:rPr>
        <w:t xml:space="preserve">continues to </w:t>
      </w:r>
      <w:r w:rsidRPr="004E520F">
        <w:rPr>
          <w:rFonts w:ascii="Arial" w:hAnsi="Arial" w:cs="Arial"/>
          <w:color w:val="0000FF"/>
        </w:rPr>
        <w:t>value and support PO participation in in</w:t>
      </w:r>
      <w:r w:rsidR="006964AB" w:rsidRPr="004E520F">
        <w:rPr>
          <w:rFonts w:ascii="Arial" w:hAnsi="Arial" w:cs="Arial"/>
          <w:color w:val="0000FF"/>
        </w:rPr>
        <w:t xml:space="preserve">ternational meetings and </w:t>
      </w:r>
      <w:r w:rsidRPr="004E520F">
        <w:rPr>
          <w:rFonts w:ascii="Arial" w:hAnsi="Arial" w:cs="Arial"/>
          <w:color w:val="0000FF"/>
        </w:rPr>
        <w:t>collaborations.  The</w:t>
      </w:r>
      <w:r w:rsidR="006964AB" w:rsidRPr="004E520F">
        <w:rPr>
          <w:rFonts w:ascii="Arial" w:hAnsi="Arial" w:cs="Arial"/>
          <w:color w:val="0000FF"/>
        </w:rPr>
        <w:t xml:space="preserve"> increasing</w:t>
      </w:r>
      <w:r w:rsidRPr="004E520F">
        <w:rPr>
          <w:rFonts w:ascii="Arial" w:hAnsi="Arial" w:cs="Arial"/>
          <w:color w:val="0000FF"/>
        </w:rPr>
        <w:t xml:space="preserve"> pressure on our travel budget</w:t>
      </w:r>
      <w:r w:rsidR="006964AB" w:rsidRPr="004E520F">
        <w:rPr>
          <w:rFonts w:ascii="Arial" w:hAnsi="Arial" w:cs="Arial"/>
          <w:color w:val="0000FF"/>
        </w:rPr>
        <w:t xml:space="preserve"> will no doubt lessen international travel opportunities, but we will seek to balance programmatic, local (meetings and outreach) and international travels even with lower travel budgets.  </w:t>
      </w:r>
      <w:r w:rsidR="00AD110A">
        <w:rPr>
          <w:rFonts w:ascii="Arial" w:hAnsi="Arial" w:cs="Arial"/>
          <w:color w:val="0000FF"/>
        </w:rPr>
        <w:t>Program Officer</w:t>
      </w:r>
      <w:r w:rsidR="007C618F">
        <w:rPr>
          <w:rFonts w:ascii="Arial" w:hAnsi="Arial" w:cs="Arial"/>
          <w:color w:val="0000FF"/>
        </w:rPr>
        <w:t>s</w:t>
      </w:r>
      <w:r w:rsidR="006964AB" w:rsidRPr="004E520F">
        <w:rPr>
          <w:rFonts w:ascii="Arial" w:hAnsi="Arial" w:cs="Arial"/>
          <w:color w:val="0000FF"/>
        </w:rPr>
        <w:t xml:space="preserve"> are provided some discretion on how they spend their travel allocation</w:t>
      </w:r>
      <w:r w:rsidR="00CB37FF" w:rsidRPr="004E520F">
        <w:rPr>
          <w:rFonts w:ascii="Arial" w:hAnsi="Arial" w:cs="Arial"/>
          <w:color w:val="0000FF"/>
        </w:rPr>
        <w:t>s</w:t>
      </w:r>
      <w:r w:rsidR="006964AB" w:rsidRPr="004E520F">
        <w:rPr>
          <w:rFonts w:ascii="Arial" w:hAnsi="Arial" w:cs="Arial"/>
          <w:color w:val="0000FF"/>
        </w:rPr>
        <w:t xml:space="preserve">. </w:t>
      </w:r>
      <w:r w:rsidRPr="004E520F">
        <w:rPr>
          <w:rFonts w:ascii="Arial" w:hAnsi="Arial" w:cs="Arial"/>
          <w:color w:val="0000FF"/>
        </w:rPr>
        <w:t xml:space="preserve"> </w:t>
      </w:r>
    </w:p>
    <w:p w:rsidR="00060590" w:rsidRPr="004E520F" w:rsidRDefault="00060590" w:rsidP="002D0EE3">
      <w:pPr>
        <w:suppressAutoHyphens/>
        <w:ind w:left="540"/>
        <w:rPr>
          <w:rFonts w:ascii="Arial" w:hAnsi="Arial" w:cs="Arial"/>
          <w:color w:val="0000FF"/>
        </w:rPr>
      </w:pPr>
    </w:p>
    <w:p w:rsidR="00060590" w:rsidRDefault="00060590" w:rsidP="00060590">
      <w:pPr>
        <w:suppressAutoHyphens/>
        <w:ind w:left="540"/>
        <w:rPr>
          <w:rFonts w:ascii="Arial" w:hAnsi="Arial" w:cs="Arial"/>
          <w:color w:val="00B050"/>
        </w:rPr>
      </w:pPr>
      <w:r>
        <w:rPr>
          <w:rFonts w:ascii="Arial" w:hAnsi="Arial" w:cs="Arial"/>
          <w:color w:val="00B050"/>
        </w:rPr>
        <w:t>2012 U</w:t>
      </w:r>
      <w:r w:rsidRPr="00EE4B3B">
        <w:rPr>
          <w:rFonts w:ascii="Arial" w:hAnsi="Arial" w:cs="Arial"/>
          <w:color w:val="00B050"/>
        </w:rPr>
        <w:t>pdate:</w:t>
      </w:r>
      <w:r>
        <w:rPr>
          <w:rFonts w:ascii="Arial" w:hAnsi="Arial" w:cs="Arial"/>
          <w:color w:val="00B050"/>
        </w:rPr>
        <w:t xml:space="preserve"> </w:t>
      </w:r>
      <w:r w:rsidR="00BB7148">
        <w:rPr>
          <w:rFonts w:ascii="Arial" w:hAnsi="Arial" w:cs="Arial"/>
          <w:color w:val="00B050"/>
        </w:rPr>
        <w:t>SEP POs continue to be engaged with the international scientific community and participate in international forums. However, in the last year such participation has not only be</w:t>
      </w:r>
      <w:r w:rsidR="00AA6C3C">
        <w:rPr>
          <w:rFonts w:ascii="Arial" w:hAnsi="Arial" w:cs="Arial"/>
          <w:color w:val="00B050"/>
        </w:rPr>
        <w:t>en</w:t>
      </w:r>
      <w:r w:rsidR="00BB7148">
        <w:rPr>
          <w:rFonts w:ascii="Arial" w:hAnsi="Arial" w:cs="Arial"/>
          <w:color w:val="00B050"/>
        </w:rPr>
        <w:t xml:space="preserve"> done in face-to-face meetings but also through </w:t>
      </w:r>
      <w:r w:rsidR="00BB7148">
        <w:rPr>
          <w:rFonts w:ascii="Arial" w:hAnsi="Arial" w:cs="Arial"/>
          <w:color w:val="00B050"/>
        </w:rPr>
        <w:lastRenderedPageBreak/>
        <w:t xml:space="preserve">virtual </w:t>
      </w:r>
      <w:r w:rsidR="00AA6C3C">
        <w:rPr>
          <w:rFonts w:ascii="Arial" w:hAnsi="Arial" w:cs="Arial"/>
          <w:color w:val="00B050"/>
        </w:rPr>
        <w:t>meetings. SEP POs are looking at virtual meetings as a mechanism to alleviate travel restrictions.</w:t>
      </w:r>
    </w:p>
    <w:p w:rsidR="00060590" w:rsidRDefault="00060590" w:rsidP="00FE67F4">
      <w:pPr>
        <w:suppressAutoHyphens/>
        <w:rPr>
          <w:rFonts w:ascii="Arial" w:hAnsi="Arial" w:cs="Arial"/>
        </w:rPr>
      </w:pPr>
    </w:p>
    <w:p w:rsidR="00191265" w:rsidRPr="00191265" w:rsidRDefault="00191265" w:rsidP="00FE67F4">
      <w:pPr>
        <w:numPr>
          <w:ilvl w:val="0"/>
          <w:numId w:val="37"/>
        </w:numPr>
        <w:suppressAutoHyphens/>
        <w:rPr>
          <w:rFonts w:ascii="Arial" w:hAnsi="Arial" w:cs="Arial"/>
        </w:rPr>
      </w:pPr>
      <w:r w:rsidRPr="00191265">
        <w:rPr>
          <w:rFonts w:ascii="Arial" w:hAnsi="Arial" w:cs="Arial"/>
        </w:rPr>
        <w:t>We recommend that future COVs be provided with the following statistics as part of the reports from each core program.</w:t>
      </w:r>
    </w:p>
    <w:p w:rsidR="00191265" w:rsidRPr="00191265" w:rsidRDefault="00191265" w:rsidP="00CB37FF">
      <w:pPr>
        <w:numPr>
          <w:ilvl w:val="1"/>
          <w:numId w:val="36"/>
        </w:numPr>
        <w:suppressAutoHyphens/>
        <w:ind w:hanging="540"/>
        <w:rPr>
          <w:rFonts w:ascii="Arial" w:hAnsi="Arial" w:cs="Arial"/>
        </w:rPr>
      </w:pPr>
      <w:r w:rsidRPr="00191265">
        <w:rPr>
          <w:rFonts w:ascii="Arial" w:hAnsi="Arial" w:cs="Arial"/>
        </w:rPr>
        <w:t>Success rates by type of proposal (e.g., RAPID, workshop, standard grant), as well as the lumped rates.</w:t>
      </w:r>
    </w:p>
    <w:p w:rsidR="00191265" w:rsidRPr="00191265" w:rsidRDefault="00191265" w:rsidP="00CB37FF">
      <w:pPr>
        <w:numPr>
          <w:ilvl w:val="1"/>
          <w:numId w:val="36"/>
        </w:numPr>
        <w:suppressAutoHyphens/>
        <w:ind w:hanging="540"/>
        <w:rPr>
          <w:rFonts w:ascii="Arial" w:hAnsi="Arial" w:cs="Arial"/>
        </w:rPr>
      </w:pPr>
      <w:r w:rsidRPr="00191265">
        <w:rPr>
          <w:rFonts w:ascii="Arial" w:hAnsi="Arial" w:cs="Arial"/>
        </w:rPr>
        <w:t>Success rates of co-reviewed proposals.</w:t>
      </w:r>
    </w:p>
    <w:p w:rsidR="00191265" w:rsidRPr="00191265" w:rsidRDefault="00FE67F4" w:rsidP="00CB37FF">
      <w:pPr>
        <w:numPr>
          <w:ilvl w:val="1"/>
          <w:numId w:val="36"/>
        </w:numPr>
        <w:suppressAutoHyphens/>
        <w:ind w:hanging="540"/>
        <w:rPr>
          <w:rFonts w:ascii="Arial" w:hAnsi="Arial" w:cs="Arial"/>
        </w:rPr>
      </w:pPr>
      <w:r>
        <w:rPr>
          <w:rFonts w:ascii="Arial" w:hAnsi="Arial" w:cs="Arial"/>
        </w:rPr>
        <w:t xml:space="preserve">      </w:t>
      </w:r>
      <w:r w:rsidR="00191265" w:rsidRPr="00191265">
        <w:rPr>
          <w:rFonts w:ascii="Arial" w:hAnsi="Arial" w:cs="Arial"/>
        </w:rPr>
        <w:t>Geographic distribution of funded proposals.</w:t>
      </w:r>
    </w:p>
    <w:p w:rsidR="00191265" w:rsidRPr="00191265" w:rsidRDefault="00191265" w:rsidP="00CB37FF">
      <w:pPr>
        <w:numPr>
          <w:ilvl w:val="1"/>
          <w:numId w:val="36"/>
        </w:numPr>
        <w:suppressAutoHyphens/>
        <w:ind w:hanging="540"/>
        <w:rPr>
          <w:rFonts w:ascii="Arial" w:hAnsi="Arial" w:cs="Arial"/>
        </w:rPr>
      </w:pPr>
      <w:r w:rsidRPr="00191265">
        <w:rPr>
          <w:rFonts w:ascii="Arial" w:hAnsi="Arial" w:cs="Arial"/>
        </w:rPr>
        <w:t>Resubmission success rates (when it is possible to identify such proposals).</w:t>
      </w:r>
    </w:p>
    <w:p w:rsidR="00191265" w:rsidRPr="00191265" w:rsidRDefault="00191265" w:rsidP="00CB37FF">
      <w:pPr>
        <w:numPr>
          <w:ilvl w:val="1"/>
          <w:numId w:val="36"/>
        </w:numPr>
        <w:suppressAutoHyphens/>
        <w:ind w:hanging="540"/>
        <w:rPr>
          <w:rFonts w:ascii="Arial" w:hAnsi="Arial" w:cs="Arial"/>
        </w:rPr>
      </w:pPr>
      <w:r w:rsidRPr="00191265">
        <w:rPr>
          <w:rFonts w:ascii="Arial" w:hAnsi="Arial" w:cs="Arial"/>
        </w:rPr>
        <w:t>Co-funding and co-review details.</w:t>
      </w:r>
    </w:p>
    <w:p w:rsidR="00191265" w:rsidRPr="00191265" w:rsidRDefault="009F3D04" w:rsidP="00CB37FF">
      <w:pPr>
        <w:numPr>
          <w:ilvl w:val="1"/>
          <w:numId w:val="36"/>
        </w:numPr>
        <w:suppressAutoHyphens/>
        <w:ind w:hanging="540"/>
        <w:rPr>
          <w:rFonts w:ascii="Arial" w:hAnsi="Arial" w:cs="Arial"/>
        </w:rPr>
      </w:pPr>
      <w:r>
        <w:rPr>
          <w:rFonts w:ascii="Arial" w:hAnsi="Arial" w:cs="Arial"/>
        </w:rPr>
        <w:t xml:space="preserve">      </w:t>
      </w:r>
      <w:r w:rsidR="00191265" w:rsidRPr="00191265">
        <w:rPr>
          <w:rFonts w:ascii="Arial" w:hAnsi="Arial" w:cs="Arial"/>
        </w:rPr>
        <w:t>Longitudinal data (for ~ a decade) for items in which gauging temporal progress is important, for example minority participation.</w:t>
      </w:r>
    </w:p>
    <w:p w:rsidR="00942F50" w:rsidRDefault="00942F50" w:rsidP="00D018F4">
      <w:pPr>
        <w:autoSpaceDE w:val="0"/>
        <w:autoSpaceDN w:val="0"/>
        <w:adjustRightInd w:val="0"/>
        <w:rPr>
          <w:rFonts w:ascii="Arial" w:hAnsi="Arial" w:cs="TimesNewRoman"/>
          <w:color w:val="000000"/>
          <w:szCs w:val="32"/>
        </w:rPr>
      </w:pPr>
    </w:p>
    <w:p w:rsidR="009F3D04" w:rsidRPr="004E520F" w:rsidRDefault="009F3D04" w:rsidP="009F3D04">
      <w:pPr>
        <w:autoSpaceDE w:val="0"/>
        <w:autoSpaceDN w:val="0"/>
        <w:adjustRightInd w:val="0"/>
        <w:ind w:left="540"/>
        <w:rPr>
          <w:rFonts w:ascii="Arial" w:hAnsi="Arial" w:cs="TimesNewRoman"/>
          <w:color w:val="0000FF"/>
          <w:szCs w:val="32"/>
        </w:rPr>
      </w:pPr>
      <w:r w:rsidRPr="004E520F">
        <w:rPr>
          <w:rFonts w:ascii="Arial" w:hAnsi="Arial" w:cs="TimesNewRoman"/>
          <w:color w:val="0000FF"/>
          <w:szCs w:val="32"/>
        </w:rPr>
        <w:t xml:space="preserve">To the extent that these could be accomplished using </w:t>
      </w:r>
      <w:r w:rsidR="00310889" w:rsidRPr="004E520F">
        <w:rPr>
          <w:rFonts w:ascii="Arial" w:hAnsi="Arial" w:cs="TimesNewRoman"/>
          <w:color w:val="0000FF"/>
          <w:szCs w:val="32"/>
        </w:rPr>
        <w:t>the NSF electronic system</w:t>
      </w:r>
      <w:r w:rsidRPr="004E520F">
        <w:rPr>
          <w:rFonts w:ascii="Arial" w:hAnsi="Arial" w:cs="TimesNewRoman"/>
          <w:color w:val="0000FF"/>
          <w:szCs w:val="32"/>
        </w:rPr>
        <w:t>, these data will be provided to the COV.  Where the data have to be generated manually</w:t>
      </w:r>
      <w:r w:rsidR="00310889" w:rsidRPr="004E520F">
        <w:rPr>
          <w:rFonts w:ascii="Arial" w:hAnsi="Arial" w:cs="TimesNewRoman"/>
          <w:color w:val="0000FF"/>
          <w:szCs w:val="32"/>
        </w:rPr>
        <w:t xml:space="preserve"> (e.g., items b and d)</w:t>
      </w:r>
      <w:r w:rsidRPr="004E520F">
        <w:rPr>
          <w:rFonts w:ascii="Arial" w:hAnsi="Arial" w:cs="TimesNewRoman"/>
          <w:color w:val="0000FF"/>
          <w:szCs w:val="32"/>
        </w:rPr>
        <w:t>, each PO will be requested to compile these in their individual presentations to the COV</w:t>
      </w:r>
      <w:r w:rsidR="00310889" w:rsidRPr="004E520F">
        <w:rPr>
          <w:rFonts w:ascii="Arial" w:hAnsi="Arial" w:cs="TimesNewRoman"/>
          <w:color w:val="0000FF"/>
          <w:szCs w:val="32"/>
        </w:rPr>
        <w:t xml:space="preserve"> next time</w:t>
      </w:r>
      <w:r w:rsidRPr="004E520F">
        <w:rPr>
          <w:rFonts w:ascii="Arial" w:hAnsi="Arial" w:cs="TimesNewRoman"/>
          <w:color w:val="0000FF"/>
          <w:szCs w:val="32"/>
        </w:rPr>
        <w:t>.</w:t>
      </w:r>
      <w:r w:rsidR="00310889" w:rsidRPr="004E520F">
        <w:rPr>
          <w:rFonts w:ascii="Arial" w:hAnsi="Arial" w:cs="TimesNewRoman"/>
          <w:color w:val="0000FF"/>
          <w:szCs w:val="32"/>
        </w:rPr>
        <w:t xml:space="preserve">  </w:t>
      </w:r>
    </w:p>
    <w:p w:rsidR="009F3D04" w:rsidRPr="004E520F" w:rsidRDefault="009F3D04" w:rsidP="009F3D04">
      <w:pPr>
        <w:autoSpaceDE w:val="0"/>
        <w:autoSpaceDN w:val="0"/>
        <w:adjustRightInd w:val="0"/>
        <w:ind w:left="540"/>
        <w:rPr>
          <w:rFonts w:ascii="Arial" w:hAnsi="Arial" w:cs="TimesNewRoman"/>
          <w:color w:val="0000FF"/>
          <w:szCs w:val="32"/>
        </w:rPr>
      </w:pPr>
    </w:p>
    <w:p w:rsidR="008671C7" w:rsidRDefault="009F3D04" w:rsidP="008671C7">
      <w:pPr>
        <w:autoSpaceDE w:val="0"/>
        <w:autoSpaceDN w:val="0"/>
        <w:adjustRightInd w:val="0"/>
        <w:ind w:left="540"/>
        <w:rPr>
          <w:rFonts w:ascii="Arial" w:hAnsi="Arial" w:cs="TimesNewRoman"/>
          <w:color w:val="0000FF"/>
          <w:szCs w:val="32"/>
        </w:rPr>
      </w:pPr>
      <w:r w:rsidRPr="004E520F">
        <w:rPr>
          <w:rFonts w:ascii="Arial" w:hAnsi="Arial" w:cs="TimesNewRoman"/>
          <w:color w:val="0000FF"/>
          <w:szCs w:val="32"/>
        </w:rPr>
        <w:t>Longitudinal data (e.g., proposal load, success rates) were presented dating back to the previous COV (note that 3 out of 4 Programs reviewed are only approximately 2 COV cycle</w:t>
      </w:r>
      <w:r w:rsidR="00137143">
        <w:rPr>
          <w:rFonts w:ascii="Arial" w:hAnsi="Arial" w:cs="TimesNewRoman"/>
          <w:color w:val="0000FF"/>
          <w:szCs w:val="32"/>
        </w:rPr>
        <w:t>s</w:t>
      </w:r>
      <w:r w:rsidRPr="004E520F">
        <w:rPr>
          <w:rFonts w:ascii="Arial" w:hAnsi="Arial" w:cs="TimesNewRoman"/>
          <w:color w:val="0000FF"/>
          <w:szCs w:val="32"/>
        </w:rPr>
        <w:t xml:space="preserve"> old!).  A decade-long timeline for </w:t>
      </w:r>
      <w:r w:rsidRPr="004E520F">
        <w:rPr>
          <w:rFonts w:ascii="Arial" w:hAnsi="Arial" w:cs="TimesNewRoman"/>
          <w:color w:val="0000FF"/>
          <w:szCs w:val="32"/>
          <w:u w:val="single"/>
        </w:rPr>
        <w:t>some</w:t>
      </w:r>
      <w:r w:rsidR="00310889" w:rsidRPr="004E520F">
        <w:rPr>
          <w:rFonts w:ascii="Arial" w:hAnsi="Arial" w:cs="TimesNewRoman"/>
          <w:color w:val="0000FF"/>
          <w:szCs w:val="32"/>
        </w:rPr>
        <w:t>*</w:t>
      </w:r>
      <w:r w:rsidRPr="004E520F">
        <w:rPr>
          <w:rFonts w:ascii="Arial" w:hAnsi="Arial" w:cs="TimesNewRoman"/>
          <w:color w:val="0000FF"/>
          <w:szCs w:val="32"/>
        </w:rPr>
        <w:t xml:space="preserve"> of the data presented will be made </w:t>
      </w:r>
      <w:r w:rsidR="00310889" w:rsidRPr="004E520F">
        <w:rPr>
          <w:rFonts w:ascii="Arial" w:hAnsi="Arial" w:cs="TimesNewRoman"/>
          <w:color w:val="0000FF"/>
          <w:szCs w:val="32"/>
        </w:rPr>
        <w:t>in the next COV</w:t>
      </w:r>
      <w:r w:rsidRPr="004E520F">
        <w:rPr>
          <w:rFonts w:ascii="Arial" w:hAnsi="Arial" w:cs="TimesNewRoman"/>
          <w:color w:val="0000FF"/>
          <w:szCs w:val="32"/>
        </w:rPr>
        <w:t xml:space="preserve"> </w:t>
      </w:r>
      <w:r w:rsidR="00310889" w:rsidRPr="004E520F">
        <w:rPr>
          <w:rFonts w:ascii="Arial" w:hAnsi="Arial" w:cs="TimesNewRoman"/>
          <w:color w:val="0000FF"/>
          <w:szCs w:val="32"/>
        </w:rPr>
        <w:t>(*the EIS system cut off some data prior to 2006, hence pre-2006 data may not be available for some metrics).</w:t>
      </w:r>
      <w:r w:rsidR="008671C7">
        <w:rPr>
          <w:rFonts w:ascii="Arial" w:hAnsi="Arial" w:cs="TimesNewRoman"/>
          <w:color w:val="0000FF"/>
          <w:szCs w:val="32"/>
        </w:rPr>
        <w:t xml:space="preserve"> </w:t>
      </w:r>
    </w:p>
    <w:p w:rsidR="008671C7" w:rsidRDefault="008671C7" w:rsidP="008671C7">
      <w:pPr>
        <w:autoSpaceDE w:val="0"/>
        <w:autoSpaceDN w:val="0"/>
        <w:adjustRightInd w:val="0"/>
        <w:ind w:left="540"/>
        <w:rPr>
          <w:rFonts w:ascii="Arial" w:hAnsi="Arial" w:cs="TimesNewRoman"/>
          <w:color w:val="0000FF"/>
          <w:szCs w:val="32"/>
        </w:rPr>
      </w:pPr>
    </w:p>
    <w:p w:rsidR="001A0703" w:rsidRPr="005042E5" w:rsidRDefault="001A0703" w:rsidP="001A0703">
      <w:pPr>
        <w:suppressAutoHyphens/>
        <w:ind w:left="540"/>
        <w:rPr>
          <w:rFonts w:ascii="Arial" w:hAnsi="Arial" w:cs="Arial"/>
          <w:color w:val="00B050"/>
        </w:rPr>
      </w:pPr>
      <w:r>
        <w:rPr>
          <w:rFonts w:ascii="Arial" w:hAnsi="Arial" w:cs="Arial"/>
          <w:color w:val="00B050"/>
        </w:rPr>
        <w:t>2012 U</w:t>
      </w:r>
      <w:r w:rsidRPr="00EE4B3B">
        <w:rPr>
          <w:rFonts w:ascii="Arial" w:hAnsi="Arial" w:cs="Arial"/>
          <w:color w:val="00B050"/>
        </w:rPr>
        <w:t xml:space="preserve">pdate: </w:t>
      </w:r>
      <w:r>
        <w:rPr>
          <w:rFonts w:ascii="Arial" w:hAnsi="Arial" w:cs="Arial"/>
          <w:color w:val="00B050"/>
        </w:rPr>
        <w:t>We have taken this year to explore alternative systems available at NSF to explore the feasibility of generating the data requested by the COV. Querying through the Report Server (as opposed to relying solely on EIS for data) will make many of these statistics possible. As described in this update, item b (success rates of co-reviewed proposals) has already been done for FY11 proposals through the Report Server querying and therefore will not have to be generated manually.</w:t>
      </w:r>
    </w:p>
    <w:p w:rsidR="00151367" w:rsidRDefault="008671C7" w:rsidP="00151367">
      <w:pPr>
        <w:pageBreakBefore/>
        <w:spacing w:before="100" w:beforeAutospacing="1" w:after="100" w:afterAutospacing="1" w:line="276" w:lineRule="auto"/>
        <w:rPr>
          <w:rFonts w:ascii="ArialMT" w:hAnsi="ArialMT" w:cs="ArialMT"/>
          <w:b/>
        </w:rPr>
      </w:pPr>
      <w:r>
        <w:rPr>
          <w:rFonts w:ascii="ArialMT" w:hAnsi="ArialMT" w:cs="ArialMT"/>
          <w:b/>
        </w:rPr>
        <w:lastRenderedPageBreak/>
        <w:t xml:space="preserve">Specific </w:t>
      </w:r>
      <w:r w:rsidR="00151367">
        <w:rPr>
          <w:rFonts w:ascii="ArialMT" w:hAnsi="ArialMT" w:cs="ArialMT"/>
          <w:b/>
        </w:rPr>
        <w:t>Responses to the Charge to the COV</w:t>
      </w:r>
    </w:p>
    <w:p w:rsidR="00151367" w:rsidRDefault="00151367" w:rsidP="00151367">
      <w:pPr>
        <w:shd w:val="clear" w:color="auto" w:fill="FFFFFF"/>
        <w:spacing w:before="100" w:beforeAutospacing="1" w:after="100" w:afterAutospacing="1" w:line="276" w:lineRule="auto"/>
        <w:rPr>
          <w:rFonts w:ascii="ArialMT" w:hAnsi="ArialMT" w:cs="ArialMT"/>
          <w:b/>
        </w:rPr>
      </w:pPr>
      <w:r>
        <w:rPr>
          <w:rFonts w:ascii="ArialMT" w:hAnsi="ArialMT" w:cs="ArialMT"/>
          <w:b/>
        </w:rPr>
        <w:t>I. Questions about the quality and effectiveness of the program's use of merit review process.</w:t>
      </w:r>
    </w:p>
    <w:p w:rsidR="00A5376A" w:rsidRPr="004E520F" w:rsidRDefault="003520B4" w:rsidP="00151367">
      <w:pPr>
        <w:shd w:val="clear" w:color="auto" w:fill="FFFFFF"/>
        <w:spacing w:before="100" w:beforeAutospacing="1" w:after="100" w:afterAutospacing="1" w:line="276" w:lineRule="auto"/>
        <w:rPr>
          <w:rFonts w:ascii="ArialMT" w:hAnsi="ArialMT" w:cs="ArialMT"/>
          <w:color w:val="0000FF"/>
        </w:rPr>
      </w:pPr>
      <w:r w:rsidRPr="004E520F">
        <w:rPr>
          <w:rFonts w:ascii="ArialMT" w:hAnsi="ArialMT" w:cs="ArialMT"/>
          <w:color w:val="0000FF"/>
        </w:rPr>
        <w:t xml:space="preserve">We </w:t>
      </w:r>
      <w:r w:rsidR="00A5376A" w:rsidRPr="004E520F">
        <w:rPr>
          <w:rFonts w:ascii="ArialMT" w:hAnsi="ArialMT" w:cs="ArialMT"/>
          <w:color w:val="0000FF"/>
        </w:rPr>
        <w:t>appreciate</w:t>
      </w:r>
      <w:r w:rsidRPr="004E520F">
        <w:rPr>
          <w:rFonts w:ascii="ArialMT" w:hAnsi="ArialMT" w:cs="ArialMT"/>
          <w:color w:val="0000FF"/>
        </w:rPr>
        <w:t xml:space="preserve"> the program-by-program assessments</w:t>
      </w:r>
      <w:r w:rsidR="00A5376A" w:rsidRPr="004E520F">
        <w:rPr>
          <w:rFonts w:ascii="ArialMT" w:hAnsi="ArialMT" w:cs="ArialMT"/>
          <w:color w:val="0000FF"/>
        </w:rPr>
        <w:t>, and generally agree with the suggestions</w:t>
      </w:r>
      <w:r w:rsidRPr="004E520F">
        <w:rPr>
          <w:rFonts w:ascii="ArialMT" w:hAnsi="ArialMT" w:cs="ArialMT"/>
          <w:color w:val="0000FF"/>
        </w:rPr>
        <w:t xml:space="preserve">.  </w:t>
      </w:r>
      <w:r w:rsidR="008A44E4">
        <w:rPr>
          <w:rFonts w:ascii="ArialMT" w:hAnsi="ArialMT" w:cs="ArialMT"/>
          <w:color w:val="0000FF"/>
        </w:rPr>
        <w:t xml:space="preserve">Panelists are variably used as reviewers in SEP programs, some as emergency reviewers (if less than three reviewers returned reviews) and others in a more formalized manner (e.g. SGP, GLD).   </w:t>
      </w:r>
      <w:r w:rsidR="00A5376A" w:rsidRPr="004E520F">
        <w:rPr>
          <w:rFonts w:ascii="ArialMT" w:hAnsi="ArialMT" w:cs="ArialMT"/>
          <w:color w:val="0000FF"/>
        </w:rPr>
        <w:t xml:space="preserve">We note that this is </w:t>
      </w:r>
      <w:r w:rsidR="00254B3E" w:rsidRPr="004E520F">
        <w:rPr>
          <w:rFonts w:ascii="ArialMT" w:hAnsi="ArialMT" w:cs="ArialMT"/>
          <w:color w:val="0000FF"/>
        </w:rPr>
        <w:t xml:space="preserve">a common practice in </w:t>
      </w:r>
      <w:r w:rsidR="00A5376A" w:rsidRPr="004E520F">
        <w:rPr>
          <w:rFonts w:ascii="ArialMT" w:hAnsi="ArialMT" w:cs="ArialMT"/>
          <w:color w:val="0000FF"/>
        </w:rPr>
        <w:t>other Directorates (e.g.,</w:t>
      </w:r>
      <w:r w:rsidR="00254B3E" w:rsidRPr="004E520F">
        <w:rPr>
          <w:rFonts w:ascii="ArialMT" w:hAnsi="ArialMT" w:cs="ArialMT"/>
          <w:color w:val="0000FF"/>
        </w:rPr>
        <w:t xml:space="preserve"> BIO), </w:t>
      </w:r>
      <w:r w:rsidR="00A5376A" w:rsidRPr="004E520F">
        <w:rPr>
          <w:rFonts w:ascii="ArialMT" w:hAnsi="ArialMT" w:cs="ArialMT"/>
          <w:color w:val="0000FF"/>
        </w:rPr>
        <w:t xml:space="preserve">but the practice </w:t>
      </w:r>
      <w:r w:rsidR="008A44E4">
        <w:rPr>
          <w:rFonts w:ascii="ArialMT" w:hAnsi="ArialMT" w:cs="ArialMT"/>
          <w:color w:val="0000FF"/>
        </w:rPr>
        <w:t>is not prevalent</w:t>
      </w:r>
      <w:r w:rsidR="00254B3E" w:rsidRPr="004E520F">
        <w:rPr>
          <w:rFonts w:ascii="ArialMT" w:hAnsi="ArialMT" w:cs="ArialMT"/>
          <w:color w:val="0000FF"/>
        </w:rPr>
        <w:t xml:space="preserve"> </w:t>
      </w:r>
      <w:r w:rsidR="00A5376A" w:rsidRPr="004E520F">
        <w:rPr>
          <w:rFonts w:ascii="ArialMT" w:hAnsi="ArialMT" w:cs="ArialMT"/>
          <w:color w:val="0000FF"/>
        </w:rPr>
        <w:t xml:space="preserve">in SEP </w:t>
      </w:r>
      <w:r w:rsidR="00254B3E" w:rsidRPr="004E520F">
        <w:rPr>
          <w:rFonts w:ascii="ArialMT" w:hAnsi="ArialMT" w:cs="ArialMT"/>
          <w:color w:val="0000FF"/>
        </w:rPr>
        <w:t xml:space="preserve">because </w:t>
      </w:r>
      <w:r w:rsidR="008A44E4">
        <w:rPr>
          <w:rFonts w:ascii="ArialMT" w:hAnsi="ArialMT" w:cs="ArialMT"/>
          <w:color w:val="0000FF"/>
        </w:rPr>
        <w:t xml:space="preserve">programs with large number of proposals could result in large panel review assignments and </w:t>
      </w:r>
      <w:r w:rsidR="00A5376A" w:rsidRPr="004E520F">
        <w:rPr>
          <w:rFonts w:ascii="ArialMT" w:hAnsi="ArialMT" w:cs="ArialMT"/>
          <w:color w:val="0000FF"/>
        </w:rPr>
        <w:t xml:space="preserve">some </w:t>
      </w:r>
      <w:r w:rsidR="00254B3E" w:rsidRPr="004E520F">
        <w:rPr>
          <w:rFonts w:ascii="ArialMT" w:hAnsi="ArialMT" w:cs="ArialMT"/>
          <w:color w:val="0000FF"/>
        </w:rPr>
        <w:t xml:space="preserve">unevenness in the quality of the review.   </w:t>
      </w:r>
      <w:r w:rsidR="008E36A7" w:rsidRPr="004E520F">
        <w:rPr>
          <w:rFonts w:ascii="ArialMT" w:hAnsi="ArialMT" w:cs="ArialMT"/>
          <w:color w:val="0000FF"/>
        </w:rPr>
        <w:t>NSF records are nevertheless very clear as to which reviews are provided by ad-hoc reviewers versus panelists (Form 7 in eJacket).</w:t>
      </w:r>
    </w:p>
    <w:p w:rsidR="005D12D3" w:rsidRPr="004E520F" w:rsidRDefault="00F11C60" w:rsidP="00151367">
      <w:pPr>
        <w:shd w:val="clear" w:color="auto" w:fill="FFFFFF"/>
        <w:spacing w:before="100" w:beforeAutospacing="1" w:after="100" w:afterAutospacing="1" w:line="276" w:lineRule="auto"/>
        <w:rPr>
          <w:rFonts w:ascii="ArialMT" w:hAnsi="ArialMT" w:cs="ArialMT"/>
          <w:color w:val="0000FF"/>
        </w:rPr>
      </w:pPr>
      <w:r w:rsidRPr="004E520F">
        <w:rPr>
          <w:rFonts w:ascii="ArialMT" w:hAnsi="ArialMT" w:cs="ArialMT"/>
          <w:color w:val="0000FF"/>
        </w:rPr>
        <w:t>The Section will examine letters sent to reviewers and adopt best practice</w:t>
      </w:r>
      <w:r w:rsidR="002C1985" w:rsidRPr="004E520F">
        <w:rPr>
          <w:rFonts w:ascii="ArialMT" w:hAnsi="ArialMT" w:cs="ArialMT"/>
          <w:color w:val="0000FF"/>
        </w:rPr>
        <w:t xml:space="preserve">s with regards to </w:t>
      </w:r>
      <w:r w:rsidRPr="004E520F">
        <w:rPr>
          <w:rFonts w:ascii="ArialMT" w:hAnsi="ArialMT" w:cs="ArialMT"/>
          <w:color w:val="0000FF"/>
        </w:rPr>
        <w:t>emphasizing both merit review criteria</w:t>
      </w:r>
      <w:r w:rsidR="005D12D3" w:rsidRPr="004E520F">
        <w:rPr>
          <w:rFonts w:ascii="ArialMT" w:hAnsi="ArialMT" w:cs="ArialMT"/>
          <w:color w:val="0000FF"/>
        </w:rPr>
        <w:t xml:space="preserve"> and encouraging a more substantive review</w:t>
      </w:r>
      <w:r w:rsidR="000C163D" w:rsidRPr="004E520F">
        <w:rPr>
          <w:rFonts w:ascii="ArialMT" w:hAnsi="ArialMT" w:cs="ArialMT"/>
          <w:color w:val="0000FF"/>
        </w:rPr>
        <w:t xml:space="preserve"> (e.g., use of the GG template)</w:t>
      </w:r>
      <w:r w:rsidRPr="004E520F">
        <w:rPr>
          <w:rFonts w:ascii="ArialMT" w:hAnsi="ArialMT" w:cs="ArialMT"/>
          <w:color w:val="0000FF"/>
        </w:rPr>
        <w:t xml:space="preserve">.  The weighing of intellectual merit and broader impact is not prescribed by the Section </w:t>
      </w:r>
      <w:r w:rsidR="002C1985" w:rsidRPr="004E520F">
        <w:rPr>
          <w:rFonts w:ascii="ArialMT" w:hAnsi="ArialMT" w:cs="ArialMT"/>
          <w:color w:val="0000FF"/>
        </w:rPr>
        <w:t>or</w:t>
      </w:r>
      <w:r w:rsidRPr="004E520F">
        <w:rPr>
          <w:rFonts w:ascii="ArialMT" w:hAnsi="ArialMT" w:cs="ArialMT"/>
          <w:color w:val="0000FF"/>
        </w:rPr>
        <w:t xml:space="preserve"> </w:t>
      </w:r>
      <w:r w:rsidR="000572F8" w:rsidRPr="004E520F">
        <w:rPr>
          <w:rFonts w:ascii="ArialMT" w:hAnsi="ArialMT" w:cs="ArialMT"/>
          <w:color w:val="0000FF"/>
        </w:rPr>
        <w:t>by the Foundation</w:t>
      </w:r>
      <w:r w:rsidR="002C1985" w:rsidRPr="004E520F">
        <w:rPr>
          <w:rFonts w:ascii="ArialMT" w:hAnsi="ArialMT" w:cs="ArialMT"/>
          <w:color w:val="0000FF"/>
        </w:rPr>
        <w:t>.  These</w:t>
      </w:r>
      <w:r w:rsidRPr="004E520F">
        <w:rPr>
          <w:rFonts w:ascii="ArialMT" w:hAnsi="ArialMT" w:cs="ArialMT"/>
          <w:color w:val="0000FF"/>
        </w:rPr>
        <w:t xml:space="preserve"> are left to the </w:t>
      </w:r>
      <w:r w:rsidR="000572F8" w:rsidRPr="004E520F">
        <w:rPr>
          <w:rFonts w:ascii="ArialMT" w:hAnsi="ArialMT" w:cs="ArialMT"/>
          <w:color w:val="0000FF"/>
        </w:rPr>
        <w:t xml:space="preserve">sole </w:t>
      </w:r>
      <w:r w:rsidRPr="004E520F">
        <w:rPr>
          <w:rFonts w:ascii="ArialMT" w:hAnsi="ArialMT" w:cs="ArialMT"/>
          <w:color w:val="0000FF"/>
        </w:rPr>
        <w:t xml:space="preserve">discretion of </w:t>
      </w:r>
      <w:r w:rsidR="00AD110A">
        <w:rPr>
          <w:rFonts w:ascii="ArialMT" w:hAnsi="ArialMT" w:cs="ArialMT"/>
          <w:color w:val="0000FF"/>
        </w:rPr>
        <w:t>Program Officer</w:t>
      </w:r>
      <w:r w:rsidR="007C618F">
        <w:rPr>
          <w:rFonts w:ascii="ArialMT" w:hAnsi="ArialMT" w:cs="ArialMT"/>
          <w:color w:val="0000FF"/>
        </w:rPr>
        <w:t>s</w:t>
      </w:r>
      <w:r w:rsidR="002C1985" w:rsidRPr="004E520F">
        <w:rPr>
          <w:rFonts w:ascii="ArialMT" w:hAnsi="ArialMT" w:cs="ArialMT"/>
          <w:color w:val="0000FF"/>
        </w:rPr>
        <w:t xml:space="preserve"> because different program</w:t>
      </w:r>
      <w:r w:rsidR="006F6BF6" w:rsidRPr="004E520F">
        <w:rPr>
          <w:rFonts w:ascii="ArialMT" w:hAnsi="ArialMT" w:cs="ArialMT"/>
          <w:color w:val="0000FF"/>
        </w:rPr>
        <w:t>s</w:t>
      </w:r>
      <w:r w:rsidR="002C1985" w:rsidRPr="004E520F">
        <w:rPr>
          <w:rFonts w:ascii="ArialMT" w:hAnsi="ArialMT" w:cs="ArialMT"/>
          <w:color w:val="0000FF"/>
        </w:rPr>
        <w:t xml:space="preserve"> lend themselves differently with regards to broader impact</w:t>
      </w:r>
      <w:r w:rsidRPr="004E520F">
        <w:rPr>
          <w:rFonts w:ascii="ArialMT" w:hAnsi="ArialMT" w:cs="ArialMT"/>
          <w:color w:val="0000FF"/>
        </w:rPr>
        <w:t>.</w:t>
      </w:r>
      <w:r w:rsidR="002C1985" w:rsidRPr="004E520F">
        <w:rPr>
          <w:rFonts w:ascii="ArialMT" w:hAnsi="ArialMT" w:cs="ArialMT"/>
          <w:color w:val="0000FF"/>
        </w:rPr>
        <w:t xml:space="preserve"> </w:t>
      </w:r>
      <w:r w:rsidR="00A5376A" w:rsidRPr="004E520F">
        <w:rPr>
          <w:rFonts w:ascii="ArialMT" w:hAnsi="ArialMT" w:cs="ArialMT"/>
          <w:color w:val="0000FF"/>
        </w:rPr>
        <w:t xml:space="preserve">  </w:t>
      </w:r>
      <w:r w:rsidR="000572F8" w:rsidRPr="004E520F">
        <w:rPr>
          <w:rFonts w:ascii="ArialMT" w:hAnsi="ArialMT" w:cs="ArialMT"/>
          <w:color w:val="0000FF"/>
        </w:rPr>
        <w:t>As was noted in the previous COV, all SEP programs strive to emphasize basic research that has significant impact on decisions and policies made by society.  In collaboration with the Educational and Human Resources Program, we also strive to advance public and student awareness of the importance of basic science to their communities and environment.</w:t>
      </w:r>
      <w:r w:rsidR="00151367" w:rsidRPr="004E520F">
        <w:rPr>
          <w:rFonts w:ascii="ArialMT" w:hAnsi="ArialMT" w:cs="ArialMT"/>
          <w:b/>
          <w:color w:val="0000FF"/>
        </w:rPr>
        <w:t xml:space="preserve">  </w:t>
      </w:r>
    </w:p>
    <w:p w:rsidR="00FF0E9E" w:rsidRPr="004E520F" w:rsidRDefault="00A5376A" w:rsidP="00FF0E9E">
      <w:pPr>
        <w:shd w:val="clear" w:color="auto" w:fill="FFFFFF"/>
        <w:spacing w:before="100" w:beforeAutospacing="1" w:after="100" w:afterAutospacing="1" w:line="276" w:lineRule="auto"/>
        <w:rPr>
          <w:rFonts w:ascii="ArialMT" w:hAnsi="ArialMT" w:cs="ArialMT"/>
          <w:color w:val="0000FF"/>
        </w:rPr>
      </w:pPr>
      <w:r w:rsidRPr="004E520F">
        <w:rPr>
          <w:rFonts w:ascii="ArialMT" w:hAnsi="ArialMT" w:cs="ArialMT"/>
          <w:color w:val="0000FF"/>
        </w:rPr>
        <w:t xml:space="preserve">We also note that with regards to the Review Analysis (e.g., noted for HS), PIs do not have access to the Review Analysis examined by the COV, but POs strive to share as much of the insights in those Review Analysis to the PI in the form of PO Comments. The </w:t>
      </w:r>
      <w:r w:rsidR="00D6534E" w:rsidRPr="004E520F">
        <w:rPr>
          <w:rFonts w:ascii="ArialMT" w:hAnsi="ArialMT" w:cs="ArialMT"/>
          <w:color w:val="0000FF"/>
        </w:rPr>
        <w:t>issue raised with regards to SGP will be addressed by ensuring that documentation of review and decisions is more consistently provided.  The PO Review analysis provides some level of reconciliation of inconsistent multi-panel decisions/</w:t>
      </w:r>
      <w:r w:rsidRPr="004E520F">
        <w:rPr>
          <w:rFonts w:ascii="ArialMT" w:hAnsi="ArialMT" w:cs="ArialMT"/>
          <w:color w:val="0000FF"/>
        </w:rPr>
        <w:t xml:space="preserve"> </w:t>
      </w:r>
      <w:r w:rsidR="00D6534E" w:rsidRPr="004E520F">
        <w:rPr>
          <w:rFonts w:ascii="ArialMT" w:hAnsi="ArialMT" w:cs="ArialMT"/>
          <w:color w:val="0000FF"/>
        </w:rPr>
        <w:t xml:space="preserve">recommendations, but we deliberately </w:t>
      </w:r>
      <w:r w:rsidRPr="004E520F">
        <w:rPr>
          <w:rFonts w:ascii="ArialMT" w:hAnsi="ArialMT" w:cs="ArialMT"/>
          <w:color w:val="0000FF"/>
        </w:rPr>
        <w:t>leave</w:t>
      </w:r>
      <w:r w:rsidR="00D6534E" w:rsidRPr="004E520F">
        <w:rPr>
          <w:rFonts w:ascii="ArialMT" w:hAnsi="ArialMT" w:cs="ArialMT"/>
          <w:color w:val="0000FF"/>
        </w:rPr>
        <w:t xml:space="preserve"> the conflicting recommendations because we view those as legitimate outcomes </w:t>
      </w:r>
      <w:r w:rsidR="006F6BF6" w:rsidRPr="004E520F">
        <w:rPr>
          <w:rFonts w:ascii="ArialMT" w:hAnsi="ArialMT" w:cs="ArialMT"/>
          <w:color w:val="0000FF"/>
        </w:rPr>
        <w:t xml:space="preserve">of the review process </w:t>
      </w:r>
      <w:r w:rsidR="00D6534E" w:rsidRPr="004E520F">
        <w:rPr>
          <w:rFonts w:ascii="ArialMT" w:hAnsi="ArialMT" w:cs="ArialMT"/>
          <w:color w:val="0000FF"/>
        </w:rPr>
        <w:t xml:space="preserve">given the multiple </w:t>
      </w:r>
      <w:r w:rsidR="006F6BF6" w:rsidRPr="004E520F">
        <w:rPr>
          <w:rFonts w:ascii="ArialMT" w:hAnsi="ArialMT" w:cs="ArialMT"/>
          <w:color w:val="0000FF"/>
        </w:rPr>
        <w:t xml:space="preserve">disciplinary </w:t>
      </w:r>
      <w:r w:rsidR="00D6534E" w:rsidRPr="004E520F">
        <w:rPr>
          <w:rFonts w:ascii="ArialMT" w:hAnsi="ArialMT" w:cs="ArialMT"/>
          <w:color w:val="0000FF"/>
        </w:rPr>
        <w:t>perspectives</w:t>
      </w:r>
      <w:r w:rsidR="00AE26D9" w:rsidRPr="004E520F">
        <w:rPr>
          <w:rFonts w:ascii="ArialMT" w:hAnsi="ArialMT" w:cs="ArialMT"/>
          <w:color w:val="0000FF"/>
        </w:rPr>
        <w:t>.</w:t>
      </w:r>
      <w:r w:rsidR="00D6534E" w:rsidRPr="004E520F">
        <w:rPr>
          <w:rFonts w:ascii="ArialMT" w:hAnsi="ArialMT" w:cs="ArialMT"/>
          <w:color w:val="0000FF"/>
        </w:rPr>
        <w:t xml:space="preserve">  </w:t>
      </w:r>
      <w:r w:rsidR="00AE26D9" w:rsidRPr="004E520F">
        <w:rPr>
          <w:rFonts w:ascii="ArialMT" w:hAnsi="ArialMT" w:cs="ArialMT"/>
          <w:color w:val="0000FF"/>
        </w:rPr>
        <w:t xml:space="preserve">The </w:t>
      </w:r>
      <w:r w:rsidR="006F6BF6" w:rsidRPr="004E520F">
        <w:rPr>
          <w:rFonts w:ascii="ArialMT" w:hAnsi="ArialMT" w:cs="ArialMT"/>
          <w:color w:val="0000FF"/>
        </w:rPr>
        <w:t xml:space="preserve">Review Analysis and the </w:t>
      </w:r>
      <w:r w:rsidR="00AE26D9" w:rsidRPr="004E520F">
        <w:rPr>
          <w:rFonts w:ascii="ArialMT" w:hAnsi="ArialMT" w:cs="ArialMT"/>
          <w:color w:val="0000FF"/>
        </w:rPr>
        <w:t xml:space="preserve">PO comments strive to provide a synthesis of the rationale, and the specific concerns raised by the overall review process.  All POs instruct Panels on articulating clear rationales for decisions rendered, and addressing dissenting reviews or comments.  </w:t>
      </w:r>
    </w:p>
    <w:p w:rsidR="00BF2D42" w:rsidRDefault="00FF0E9E" w:rsidP="00151367">
      <w:pPr>
        <w:shd w:val="clear" w:color="auto" w:fill="FFFFFF"/>
        <w:spacing w:before="100" w:beforeAutospacing="1" w:after="100" w:afterAutospacing="1" w:line="276" w:lineRule="auto"/>
        <w:rPr>
          <w:rFonts w:ascii="ArialMT" w:hAnsi="ArialMT" w:cs="ArialMT"/>
          <w:color w:val="0000FF"/>
        </w:rPr>
      </w:pPr>
      <w:r w:rsidRPr="004E520F">
        <w:rPr>
          <w:rFonts w:ascii="ArialMT" w:hAnsi="ArialMT" w:cs="ArialMT"/>
          <w:color w:val="0000FF"/>
        </w:rPr>
        <w:t xml:space="preserve">Suggestions made on tracking gender and race of reviewers is </w:t>
      </w:r>
      <w:r w:rsidR="00FC5C18" w:rsidRPr="004E520F">
        <w:rPr>
          <w:rFonts w:ascii="ArialMT" w:hAnsi="ArialMT" w:cs="ArialMT"/>
          <w:color w:val="0000FF"/>
        </w:rPr>
        <w:t xml:space="preserve">already being </w:t>
      </w:r>
      <w:r w:rsidR="00CB73E3" w:rsidRPr="004E520F">
        <w:rPr>
          <w:rFonts w:ascii="ArialMT" w:hAnsi="ArialMT" w:cs="ArialMT"/>
          <w:color w:val="0000FF"/>
        </w:rPr>
        <w:t>done NSF-wide</w:t>
      </w:r>
      <w:r w:rsidRPr="004E520F">
        <w:rPr>
          <w:rFonts w:ascii="ArialMT" w:hAnsi="ArialMT" w:cs="ArialMT"/>
          <w:color w:val="0000FF"/>
        </w:rPr>
        <w:t xml:space="preserve">, and we will </w:t>
      </w:r>
      <w:r w:rsidR="00CB73E3" w:rsidRPr="004E520F">
        <w:rPr>
          <w:rFonts w:ascii="ArialMT" w:hAnsi="ArialMT" w:cs="ArialMT"/>
          <w:color w:val="0000FF"/>
        </w:rPr>
        <w:t>present this information to the COV next time</w:t>
      </w:r>
      <w:r w:rsidR="00FC5C18" w:rsidRPr="004E520F">
        <w:rPr>
          <w:rFonts w:ascii="ArialMT" w:hAnsi="ArialMT" w:cs="ArialMT"/>
          <w:color w:val="0000FF"/>
        </w:rPr>
        <w:t>.  It should be noted h</w:t>
      </w:r>
      <w:r w:rsidRPr="004E520F">
        <w:rPr>
          <w:rFonts w:ascii="ArialMT" w:hAnsi="ArialMT" w:cs="ArialMT"/>
          <w:color w:val="0000FF"/>
        </w:rPr>
        <w:t xml:space="preserve">owever, this voluntary registration of gender and race </w:t>
      </w:r>
      <w:r w:rsidR="00CB73E3" w:rsidRPr="004E520F">
        <w:rPr>
          <w:rFonts w:ascii="ArialMT" w:hAnsi="ArialMT" w:cs="ArialMT"/>
          <w:color w:val="0000FF"/>
        </w:rPr>
        <w:t xml:space="preserve">for reviewers </w:t>
      </w:r>
      <w:r w:rsidRPr="004E520F">
        <w:rPr>
          <w:rFonts w:ascii="ArialMT" w:hAnsi="ArialMT" w:cs="ArialMT"/>
          <w:color w:val="0000FF"/>
        </w:rPr>
        <w:t xml:space="preserve">only get </w:t>
      </w:r>
      <w:r w:rsidR="00CB73E3" w:rsidRPr="004E520F">
        <w:rPr>
          <w:rFonts w:ascii="ArialMT" w:hAnsi="ArialMT" w:cs="ArialMT"/>
          <w:color w:val="0000FF"/>
        </w:rPr>
        <w:t>response rates of less than 25%</w:t>
      </w:r>
      <w:r w:rsidRPr="004E520F">
        <w:rPr>
          <w:rFonts w:ascii="ArialMT" w:hAnsi="ArialMT" w:cs="ArialMT"/>
          <w:color w:val="0000FF"/>
        </w:rPr>
        <w:t xml:space="preserve">. </w:t>
      </w:r>
      <w:r w:rsidR="00151367" w:rsidRPr="004E520F">
        <w:rPr>
          <w:rFonts w:ascii="ArialMT" w:hAnsi="ArialMT" w:cs="ArialMT"/>
          <w:color w:val="0000FF"/>
        </w:rPr>
        <w:t xml:space="preserve"> </w:t>
      </w:r>
    </w:p>
    <w:p w:rsidR="00151367" w:rsidRPr="00BF2D42" w:rsidRDefault="00BF2D42" w:rsidP="00151367">
      <w:pPr>
        <w:shd w:val="clear" w:color="auto" w:fill="FFFFFF"/>
        <w:spacing w:before="100" w:beforeAutospacing="1" w:after="100" w:afterAutospacing="1" w:line="276" w:lineRule="auto"/>
        <w:rPr>
          <w:rFonts w:ascii="ArialMT" w:hAnsi="ArialMT" w:cs="ArialMT"/>
          <w:color w:val="0000FF"/>
        </w:rPr>
      </w:pPr>
      <w:r>
        <w:rPr>
          <w:rFonts w:ascii="Arial" w:hAnsi="Arial" w:cs="Arial"/>
          <w:color w:val="00B050"/>
        </w:rPr>
        <w:lastRenderedPageBreak/>
        <w:t>2012 U</w:t>
      </w:r>
      <w:r w:rsidRPr="00EE4B3B">
        <w:rPr>
          <w:rFonts w:ascii="Arial" w:hAnsi="Arial" w:cs="Arial"/>
          <w:color w:val="00B050"/>
        </w:rPr>
        <w:t>pdate:</w:t>
      </w:r>
      <w:r>
        <w:rPr>
          <w:rFonts w:ascii="Arial" w:hAnsi="Arial" w:cs="Arial"/>
          <w:color w:val="00B050"/>
        </w:rPr>
        <w:t xml:space="preserve"> Review process for SEP programs continues to use both ad-hoc mail reviewers and panelists. Review analyses continue to provide the rationale for decisions regarding proposals. If the documentation is not deemed complete or clear, POs are asked to provide additional information so that the decision is fully documented</w:t>
      </w:r>
      <w:r w:rsidR="009100AF">
        <w:rPr>
          <w:rFonts w:ascii="ArialMT" w:hAnsi="ArialMT" w:cs="ArialMT"/>
          <w:b/>
        </w:rPr>
        <w:br w:type="page"/>
      </w:r>
      <w:r w:rsidR="00151367">
        <w:rPr>
          <w:rFonts w:ascii="ArialMT" w:hAnsi="ArialMT" w:cs="ArialMT"/>
          <w:b/>
        </w:rPr>
        <w:lastRenderedPageBreak/>
        <w:t>II</w:t>
      </w:r>
      <w:r w:rsidR="00137143">
        <w:rPr>
          <w:rFonts w:ascii="ArialMT" w:hAnsi="ArialMT" w:cs="ArialMT"/>
          <w:b/>
        </w:rPr>
        <w:t>. Questions</w:t>
      </w:r>
      <w:r w:rsidR="00151367">
        <w:rPr>
          <w:rFonts w:ascii="ArialMT" w:hAnsi="ArialMT" w:cs="ArialMT"/>
          <w:b/>
        </w:rPr>
        <w:t xml:space="preserve"> concerning the selection of reviewers.</w:t>
      </w:r>
    </w:p>
    <w:p w:rsidR="00137143" w:rsidRDefault="009100AF" w:rsidP="009100AF">
      <w:pPr>
        <w:shd w:val="clear" w:color="auto" w:fill="FFFFFF"/>
        <w:spacing w:before="100" w:beforeAutospacing="1" w:after="100" w:afterAutospacing="1" w:line="276" w:lineRule="auto"/>
        <w:rPr>
          <w:rFonts w:ascii="Arial" w:hAnsi="Arial" w:cs="Arial"/>
          <w:color w:val="0000FF"/>
          <w:szCs w:val="22"/>
        </w:rPr>
      </w:pPr>
      <w:r w:rsidRPr="004E520F">
        <w:rPr>
          <w:rFonts w:ascii="Arial" w:hAnsi="Arial" w:cs="Arial"/>
          <w:color w:val="0000FF"/>
          <w:szCs w:val="22"/>
        </w:rPr>
        <w:t xml:space="preserve">The </w:t>
      </w:r>
      <w:r w:rsidR="00964259" w:rsidRPr="004E520F">
        <w:rPr>
          <w:rFonts w:ascii="Arial" w:hAnsi="Arial" w:cs="Arial"/>
          <w:color w:val="0000FF"/>
          <w:szCs w:val="22"/>
        </w:rPr>
        <w:t>daunting task</w:t>
      </w:r>
      <w:r w:rsidRPr="004E520F">
        <w:rPr>
          <w:rFonts w:ascii="Arial" w:hAnsi="Arial" w:cs="Arial"/>
          <w:color w:val="0000FF"/>
          <w:szCs w:val="22"/>
        </w:rPr>
        <w:t xml:space="preserve"> o</w:t>
      </w:r>
      <w:r w:rsidR="00964259" w:rsidRPr="004E520F">
        <w:rPr>
          <w:rFonts w:ascii="Arial" w:hAnsi="Arial" w:cs="Arial"/>
          <w:color w:val="0000FF"/>
          <w:szCs w:val="22"/>
        </w:rPr>
        <w:t xml:space="preserve">f selecting reviewers in such </w:t>
      </w:r>
      <w:r w:rsidRPr="004E520F">
        <w:rPr>
          <w:rFonts w:ascii="Arial" w:hAnsi="Arial" w:cs="Arial"/>
          <w:color w:val="0000FF"/>
          <w:szCs w:val="22"/>
        </w:rPr>
        <w:t>broad program</w:t>
      </w:r>
      <w:r w:rsidR="00964259" w:rsidRPr="004E520F">
        <w:rPr>
          <w:rFonts w:ascii="Arial" w:hAnsi="Arial" w:cs="Arial"/>
          <w:color w:val="0000FF"/>
          <w:szCs w:val="22"/>
        </w:rPr>
        <w:t xml:space="preserve">s with </w:t>
      </w:r>
      <w:r w:rsidRPr="004E520F">
        <w:rPr>
          <w:rFonts w:ascii="Arial" w:hAnsi="Arial" w:cs="Arial"/>
          <w:color w:val="0000FF"/>
          <w:szCs w:val="22"/>
        </w:rPr>
        <w:t xml:space="preserve">a heavy proposal workload is </w:t>
      </w:r>
      <w:r w:rsidR="00964259" w:rsidRPr="004E520F">
        <w:rPr>
          <w:rFonts w:ascii="Arial" w:hAnsi="Arial" w:cs="Arial"/>
          <w:color w:val="0000FF"/>
          <w:szCs w:val="22"/>
        </w:rPr>
        <w:t xml:space="preserve">a </w:t>
      </w:r>
      <w:r w:rsidRPr="004E520F">
        <w:rPr>
          <w:rFonts w:ascii="Arial" w:hAnsi="Arial" w:cs="Arial"/>
          <w:color w:val="0000FF"/>
          <w:szCs w:val="22"/>
        </w:rPr>
        <w:t>challeng</w:t>
      </w:r>
      <w:r w:rsidR="00964259" w:rsidRPr="004E520F">
        <w:rPr>
          <w:rFonts w:ascii="Arial" w:hAnsi="Arial" w:cs="Arial"/>
          <w:color w:val="0000FF"/>
          <w:szCs w:val="22"/>
        </w:rPr>
        <w:t>e we take very seriously.</w:t>
      </w:r>
      <w:r w:rsidRPr="004E520F">
        <w:rPr>
          <w:rFonts w:ascii="Arial" w:hAnsi="Arial" w:cs="Arial"/>
          <w:color w:val="0000FF"/>
          <w:szCs w:val="22"/>
        </w:rPr>
        <w:t xml:space="preserve"> It is virtually impossible to be familiar with the breadth of reviewers available and the ever changing and renewing reviewer base in a program that intellectually covers much of surface Earth sciences. </w:t>
      </w:r>
      <w:r w:rsidR="00137143">
        <w:rPr>
          <w:rFonts w:ascii="Arial" w:hAnsi="Arial" w:cs="Arial"/>
          <w:color w:val="0000FF"/>
          <w:szCs w:val="22"/>
        </w:rPr>
        <w:t xml:space="preserve"> Program Officers also seek recommendations from other Program Officers and from reviewers who are unable to review a proposal.</w:t>
      </w:r>
      <w:r w:rsidRPr="004E520F">
        <w:rPr>
          <w:rFonts w:ascii="Arial" w:hAnsi="Arial" w:cs="Arial"/>
          <w:color w:val="0000FF"/>
          <w:szCs w:val="22"/>
        </w:rPr>
        <w:t xml:space="preserve"> </w:t>
      </w:r>
    </w:p>
    <w:p w:rsidR="009100AF" w:rsidRPr="004E520F" w:rsidRDefault="009100AF" w:rsidP="009100AF">
      <w:pPr>
        <w:shd w:val="clear" w:color="auto" w:fill="FFFFFF"/>
        <w:spacing w:before="100" w:beforeAutospacing="1" w:after="100" w:afterAutospacing="1" w:line="276" w:lineRule="auto"/>
        <w:rPr>
          <w:rFonts w:ascii="Arial" w:hAnsi="Arial" w:cs="Arial"/>
          <w:color w:val="0000FF"/>
        </w:rPr>
      </w:pPr>
      <w:r w:rsidRPr="004E520F">
        <w:rPr>
          <w:rFonts w:ascii="Arial" w:hAnsi="Arial" w:cs="Arial"/>
          <w:color w:val="0000FF"/>
        </w:rPr>
        <w:t xml:space="preserve">Assignment of reviewers is based on the need </w:t>
      </w:r>
      <w:r w:rsidR="007C14EA">
        <w:rPr>
          <w:rFonts w:ascii="Arial" w:hAnsi="Arial" w:cs="Arial"/>
          <w:color w:val="0000FF"/>
        </w:rPr>
        <w:t>to evaluate the components</w:t>
      </w:r>
      <w:r w:rsidRPr="004E520F">
        <w:rPr>
          <w:rFonts w:ascii="Arial" w:hAnsi="Arial" w:cs="Arial"/>
          <w:color w:val="0000FF"/>
        </w:rPr>
        <w:t xml:space="preserve"> </w:t>
      </w:r>
      <w:r w:rsidR="00664FBB" w:rsidRPr="004E520F">
        <w:rPr>
          <w:rFonts w:ascii="Arial" w:hAnsi="Arial" w:cs="Arial"/>
          <w:color w:val="0000FF"/>
        </w:rPr>
        <w:t xml:space="preserve">and holistic goals </w:t>
      </w:r>
      <w:r w:rsidRPr="004E520F">
        <w:rPr>
          <w:rFonts w:ascii="Arial" w:hAnsi="Arial" w:cs="Arial"/>
          <w:color w:val="0000FF"/>
        </w:rPr>
        <w:t xml:space="preserve">of the research plan.  The number of ad hoc reviews received is governed by an anticipation of what reviews will be returned.  In the case of a large number of ad hoc reviews, this may or may not be attributed to co-review and/or co-review panelist reviews being included.  This circumstance may lead to overemphasis on specific aspects of the overall proposal although there may also be times when the breadth of reviews requested do not match the breadth of reviews received. To counteract this apparent overweighting, the panelists assigned to each proposal are distributed by expertise with </w:t>
      </w:r>
      <w:r w:rsidR="00664FBB" w:rsidRPr="004E520F">
        <w:rPr>
          <w:rFonts w:ascii="Arial" w:hAnsi="Arial" w:cs="Arial"/>
          <w:color w:val="0000FF"/>
        </w:rPr>
        <w:t xml:space="preserve">at least </w:t>
      </w:r>
      <w:r w:rsidRPr="004E520F">
        <w:rPr>
          <w:rFonts w:ascii="Arial" w:hAnsi="Arial" w:cs="Arial"/>
          <w:color w:val="0000FF"/>
        </w:rPr>
        <w:t xml:space="preserve">one individual providing the "generalist view".   </w:t>
      </w:r>
      <w:r w:rsidR="00664FBB" w:rsidRPr="004E520F">
        <w:rPr>
          <w:rFonts w:ascii="Arial" w:hAnsi="Arial" w:cs="Arial"/>
          <w:color w:val="0000FF"/>
        </w:rPr>
        <w:t xml:space="preserve">Beyond that, the </w:t>
      </w:r>
      <w:r w:rsidR="00AD110A">
        <w:rPr>
          <w:rFonts w:ascii="Arial" w:hAnsi="Arial" w:cs="Arial"/>
          <w:color w:val="0000FF"/>
        </w:rPr>
        <w:t>Program Officer</w:t>
      </w:r>
      <w:r w:rsidR="007C618F">
        <w:rPr>
          <w:rFonts w:ascii="Arial" w:hAnsi="Arial" w:cs="Arial"/>
          <w:color w:val="0000FF"/>
        </w:rPr>
        <w:t>s</w:t>
      </w:r>
      <w:r w:rsidR="00664FBB" w:rsidRPr="004E520F">
        <w:rPr>
          <w:rFonts w:ascii="Arial" w:hAnsi="Arial" w:cs="Arial"/>
          <w:color w:val="0000FF"/>
        </w:rPr>
        <w:t xml:space="preserve"> provide the final oversight. </w:t>
      </w:r>
    </w:p>
    <w:p w:rsidR="00DD773D" w:rsidRPr="004E520F" w:rsidRDefault="00DD773D" w:rsidP="009100AF">
      <w:pPr>
        <w:shd w:val="clear" w:color="auto" w:fill="FFFFFF"/>
        <w:spacing w:before="100" w:beforeAutospacing="1" w:after="100" w:afterAutospacing="1" w:line="276" w:lineRule="auto"/>
        <w:rPr>
          <w:rFonts w:ascii="Arial" w:hAnsi="Arial" w:cs="Arial"/>
          <w:color w:val="0000FF"/>
        </w:rPr>
      </w:pPr>
      <w:r w:rsidRPr="004E520F">
        <w:rPr>
          <w:rFonts w:ascii="Arial" w:hAnsi="Arial" w:cs="Arial"/>
          <w:color w:val="0000FF"/>
        </w:rPr>
        <w:t>The existing reviewer tracking system of NSF is quite extensive, and easily rivals many high end journals.  The problem identified by the COV concerning the issue of variable numbers of reviews is quite complex</w:t>
      </w:r>
      <w:r w:rsidR="00664FBB" w:rsidRPr="004E520F">
        <w:rPr>
          <w:rFonts w:ascii="Arial" w:hAnsi="Arial" w:cs="Arial"/>
          <w:color w:val="0000FF"/>
        </w:rPr>
        <w:t>,</w:t>
      </w:r>
      <w:r w:rsidRPr="004E520F">
        <w:rPr>
          <w:rFonts w:ascii="Arial" w:hAnsi="Arial" w:cs="Arial"/>
          <w:color w:val="0000FF"/>
        </w:rPr>
        <w:t xml:space="preserve"> and we do not believe </w:t>
      </w:r>
      <w:r w:rsidR="00664FBB" w:rsidRPr="004E520F">
        <w:rPr>
          <w:rFonts w:ascii="Arial" w:hAnsi="Arial" w:cs="Arial"/>
          <w:color w:val="0000FF"/>
        </w:rPr>
        <w:t xml:space="preserve">it can be primarily attributed to </w:t>
      </w:r>
      <w:r w:rsidRPr="004E520F">
        <w:rPr>
          <w:rFonts w:ascii="Arial" w:hAnsi="Arial" w:cs="Arial"/>
          <w:color w:val="0000FF"/>
        </w:rPr>
        <w:t xml:space="preserve">the reviewer tracking system that we use.  The bottom-line is every potential reviewer balances that sense of collective responsibility </w:t>
      </w:r>
      <w:r w:rsidR="00664FBB" w:rsidRPr="004E520F">
        <w:rPr>
          <w:rFonts w:ascii="Arial" w:hAnsi="Arial" w:cs="Arial"/>
          <w:color w:val="0000FF"/>
        </w:rPr>
        <w:t xml:space="preserve">to the science community </w:t>
      </w:r>
      <w:r w:rsidRPr="004E520F">
        <w:rPr>
          <w:rFonts w:ascii="Arial" w:hAnsi="Arial" w:cs="Arial"/>
          <w:color w:val="0000FF"/>
        </w:rPr>
        <w:t>with reviewer (and other) load they get from NSF (and not just SEP!) and journal reviews.  Sometimes they say “yes” (</w:t>
      </w:r>
      <w:r w:rsidR="003732AD">
        <w:rPr>
          <w:rFonts w:ascii="Arial" w:hAnsi="Arial" w:cs="Arial"/>
          <w:color w:val="0000FF"/>
        </w:rPr>
        <w:t xml:space="preserve">on </w:t>
      </w:r>
      <w:r w:rsidRPr="004E520F">
        <w:rPr>
          <w:rFonts w:ascii="Arial" w:hAnsi="Arial" w:cs="Arial"/>
          <w:color w:val="0000FF"/>
        </w:rPr>
        <w:t xml:space="preserve">which they may or may not </w:t>
      </w:r>
      <w:r w:rsidR="003732AD">
        <w:rPr>
          <w:rFonts w:ascii="Arial" w:hAnsi="Arial" w:cs="Arial"/>
          <w:color w:val="0000FF"/>
        </w:rPr>
        <w:t>deliver</w:t>
      </w:r>
      <w:r w:rsidRPr="004E520F">
        <w:rPr>
          <w:rFonts w:ascii="Arial" w:hAnsi="Arial" w:cs="Arial"/>
          <w:color w:val="0000FF"/>
        </w:rPr>
        <w:t xml:space="preserve">), and sometimes they beg out.  In </w:t>
      </w:r>
      <w:r w:rsidR="003732AD">
        <w:rPr>
          <w:rFonts w:ascii="Arial" w:hAnsi="Arial" w:cs="Arial"/>
          <w:color w:val="0000FF"/>
        </w:rPr>
        <w:t>some</w:t>
      </w:r>
      <w:r w:rsidRPr="004E520F">
        <w:rPr>
          <w:rFonts w:ascii="Arial" w:hAnsi="Arial" w:cs="Arial"/>
          <w:color w:val="0000FF"/>
        </w:rPr>
        <w:t xml:space="preserve"> cases, we do not get reviewer responses to the invitation to review, and it is largely in these cases where a PO sends out additional invitations, only to see later that a review was provided by the scientists who did not respond to the invitation. </w:t>
      </w:r>
      <w:r w:rsidR="00664FBB" w:rsidRPr="004E520F">
        <w:rPr>
          <w:rFonts w:ascii="Arial" w:hAnsi="Arial" w:cs="Arial"/>
          <w:color w:val="0000FF"/>
        </w:rPr>
        <w:t>Reviewer commitment</w:t>
      </w:r>
      <w:r w:rsidRPr="004E520F">
        <w:rPr>
          <w:rFonts w:ascii="Arial" w:hAnsi="Arial" w:cs="Arial"/>
          <w:color w:val="0000FF"/>
        </w:rPr>
        <w:t xml:space="preserve"> is a special challenge for young and emerging disciplines because that sense of community has not been cemented fully</w:t>
      </w:r>
      <w:r w:rsidR="00664FBB" w:rsidRPr="004E520F">
        <w:rPr>
          <w:rFonts w:ascii="Arial" w:hAnsi="Arial" w:cs="Arial"/>
          <w:color w:val="0000FF"/>
        </w:rPr>
        <w:t xml:space="preserve"> in some of these communities</w:t>
      </w:r>
      <w:r w:rsidRPr="004E520F">
        <w:rPr>
          <w:rFonts w:ascii="Arial" w:hAnsi="Arial" w:cs="Arial"/>
          <w:color w:val="0000FF"/>
        </w:rPr>
        <w:t>.</w:t>
      </w:r>
    </w:p>
    <w:p w:rsidR="00AC6FC7" w:rsidRDefault="009100AF" w:rsidP="009100AF">
      <w:pPr>
        <w:shd w:val="clear" w:color="auto" w:fill="FFFFFF"/>
        <w:spacing w:before="100" w:beforeAutospacing="1" w:after="100" w:afterAutospacing="1" w:line="276" w:lineRule="auto"/>
        <w:rPr>
          <w:rFonts w:ascii="Arial" w:hAnsi="Arial" w:cs="Arial"/>
          <w:color w:val="0000CC"/>
        </w:rPr>
      </w:pPr>
      <w:r w:rsidRPr="004E520F">
        <w:rPr>
          <w:rFonts w:ascii="Arial" w:hAnsi="Arial" w:cs="Arial"/>
          <w:color w:val="0000FF"/>
        </w:rPr>
        <w:t>Since the HS panel typically meets before other co-reviewing panels, HS may be able to identify reviews received after panel has met.  HS may also consider identification of co-review ad hoc and co-review panelist reviews</w:t>
      </w:r>
      <w:r w:rsidR="00DD773D">
        <w:rPr>
          <w:rFonts w:ascii="Arial" w:hAnsi="Arial" w:cs="Arial"/>
          <w:color w:val="0000CC"/>
        </w:rPr>
        <w:t>.</w:t>
      </w:r>
    </w:p>
    <w:p w:rsidR="00DD773D" w:rsidRDefault="00AC6FC7" w:rsidP="009100AF">
      <w:pPr>
        <w:shd w:val="clear" w:color="auto" w:fill="FFFFFF"/>
        <w:spacing w:before="100" w:beforeAutospacing="1" w:after="100" w:afterAutospacing="1" w:line="276" w:lineRule="auto"/>
        <w:rPr>
          <w:rFonts w:ascii="Arial" w:hAnsi="Arial" w:cs="Arial"/>
          <w:color w:val="0000CC"/>
        </w:rPr>
      </w:pPr>
      <w:r>
        <w:rPr>
          <w:rFonts w:ascii="Arial" w:hAnsi="Arial" w:cs="Arial"/>
          <w:color w:val="00B050"/>
        </w:rPr>
        <w:t>2012 U</w:t>
      </w:r>
      <w:r w:rsidRPr="00EE4B3B">
        <w:rPr>
          <w:rFonts w:ascii="Arial" w:hAnsi="Arial" w:cs="Arial"/>
          <w:color w:val="00B050"/>
        </w:rPr>
        <w:t>pdate:</w:t>
      </w:r>
      <w:r>
        <w:rPr>
          <w:rFonts w:ascii="Arial" w:hAnsi="Arial" w:cs="Arial"/>
          <w:color w:val="00B050"/>
        </w:rPr>
        <w:t xml:space="preserve"> SEP POs continue to strive to provide clear guidance to reviewers and panelists regarding the review criteria. </w:t>
      </w:r>
    </w:p>
    <w:p w:rsidR="00151367" w:rsidRDefault="00151367" w:rsidP="00151367">
      <w:pPr>
        <w:shd w:val="clear" w:color="auto" w:fill="FFFFFF"/>
        <w:spacing w:before="100" w:beforeAutospacing="1" w:after="100" w:afterAutospacing="1" w:line="276" w:lineRule="auto"/>
        <w:rPr>
          <w:rFonts w:ascii="ArialMT" w:hAnsi="ArialMT" w:cs="ArialMT"/>
          <w:b/>
        </w:rPr>
      </w:pPr>
      <w:r>
        <w:rPr>
          <w:rFonts w:ascii="ArialMT" w:hAnsi="ArialMT" w:cs="ArialMT"/>
          <w:b/>
        </w:rPr>
        <w:t>III.  Questions concerning the management of the program under review.</w:t>
      </w:r>
    </w:p>
    <w:p w:rsidR="00AC6FC7" w:rsidRDefault="00872B9E" w:rsidP="00151367">
      <w:pPr>
        <w:spacing w:before="100" w:beforeAutospacing="1" w:after="100" w:afterAutospacing="1" w:line="276" w:lineRule="auto"/>
        <w:rPr>
          <w:rFonts w:ascii="ArialMT" w:hAnsi="ArialMT" w:cs="ArialMT"/>
          <w:color w:val="0000FF"/>
        </w:rPr>
      </w:pPr>
      <w:r w:rsidRPr="004E520F">
        <w:rPr>
          <w:rFonts w:ascii="ArialMT" w:hAnsi="ArialMT" w:cs="ArialMT"/>
          <w:color w:val="0000FF"/>
        </w:rPr>
        <w:t xml:space="preserve">We </w:t>
      </w:r>
      <w:r w:rsidR="00FC0212" w:rsidRPr="004E520F">
        <w:rPr>
          <w:rFonts w:ascii="ArialMT" w:hAnsi="ArialMT" w:cs="ArialMT"/>
          <w:color w:val="0000FF"/>
        </w:rPr>
        <w:t xml:space="preserve">fully </w:t>
      </w:r>
      <w:r w:rsidRPr="004E520F">
        <w:rPr>
          <w:rFonts w:ascii="ArialMT" w:hAnsi="ArialMT" w:cs="ArialMT"/>
          <w:color w:val="0000FF"/>
        </w:rPr>
        <w:t xml:space="preserve">appreciate the confidence of the COV on the excellent </w:t>
      </w:r>
      <w:r w:rsidR="001A22B4" w:rsidRPr="004E520F">
        <w:rPr>
          <w:rFonts w:ascii="ArialMT" w:hAnsi="ArialMT" w:cs="ArialMT"/>
          <w:color w:val="0000FF"/>
        </w:rPr>
        <w:t xml:space="preserve">overall </w:t>
      </w:r>
      <w:r w:rsidRPr="004E520F">
        <w:rPr>
          <w:rFonts w:ascii="ArialMT" w:hAnsi="ArialMT" w:cs="ArialMT"/>
          <w:color w:val="0000FF"/>
        </w:rPr>
        <w:t>management of all the SEP programs.</w:t>
      </w:r>
      <w:r w:rsidR="001A22B4" w:rsidRPr="004E520F">
        <w:rPr>
          <w:rFonts w:ascii="ArialMT" w:hAnsi="ArialMT" w:cs="ArialMT"/>
          <w:color w:val="0000FF"/>
        </w:rPr>
        <w:t xml:space="preserve">  The issue of high mortgage rates raised by the COV on the SGP </w:t>
      </w:r>
      <w:r w:rsidR="001A22B4" w:rsidRPr="004E520F">
        <w:rPr>
          <w:rFonts w:ascii="ArialMT" w:hAnsi="ArialMT" w:cs="ArialMT"/>
          <w:color w:val="0000FF"/>
        </w:rPr>
        <w:lastRenderedPageBreak/>
        <w:t xml:space="preserve">is being addressed, and we expect the current SGP POs to aggressively lower their mortgage.  </w:t>
      </w:r>
    </w:p>
    <w:p w:rsidR="00872B9E" w:rsidRPr="004E520F" w:rsidRDefault="00AC6FC7" w:rsidP="00151367">
      <w:pPr>
        <w:spacing w:before="100" w:beforeAutospacing="1" w:after="100" w:afterAutospacing="1" w:line="276" w:lineRule="auto"/>
        <w:rPr>
          <w:rFonts w:ascii="ArialMT" w:hAnsi="ArialMT" w:cs="ArialMT"/>
          <w:color w:val="0000FF"/>
        </w:rPr>
      </w:pPr>
      <w:r>
        <w:rPr>
          <w:rFonts w:ascii="Arial" w:hAnsi="Arial" w:cs="Arial"/>
          <w:color w:val="00B050"/>
        </w:rPr>
        <w:t>2012 U</w:t>
      </w:r>
      <w:r w:rsidRPr="00EE4B3B">
        <w:rPr>
          <w:rFonts w:ascii="Arial" w:hAnsi="Arial" w:cs="Arial"/>
          <w:color w:val="00B050"/>
        </w:rPr>
        <w:t>pdate:</w:t>
      </w:r>
      <w:r>
        <w:rPr>
          <w:rFonts w:ascii="Arial" w:hAnsi="Arial" w:cs="Arial"/>
          <w:color w:val="00B050"/>
        </w:rPr>
        <w:t xml:space="preserve"> SGP POs reduced their mortgage to </w:t>
      </w:r>
      <w:r w:rsidR="000605CB">
        <w:rPr>
          <w:rFonts w:ascii="Arial" w:hAnsi="Arial" w:cs="Arial"/>
          <w:color w:val="00B050"/>
        </w:rPr>
        <w:t>less than 30%.</w:t>
      </w:r>
    </w:p>
    <w:p w:rsidR="00151367" w:rsidRDefault="001A22B4" w:rsidP="00151367">
      <w:pPr>
        <w:spacing w:before="100" w:beforeAutospacing="1" w:after="100" w:afterAutospacing="1" w:line="276" w:lineRule="auto"/>
        <w:rPr>
          <w:rFonts w:ascii="ArialMT" w:hAnsi="ArialMT" w:cs="ArialMT"/>
          <w:b/>
        </w:rPr>
      </w:pPr>
      <w:r>
        <w:rPr>
          <w:rFonts w:ascii="ArialMT" w:hAnsi="ArialMT" w:cs="ArialMT"/>
          <w:b/>
        </w:rPr>
        <w:br w:type="page"/>
      </w:r>
      <w:r w:rsidR="00151367">
        <w:rPr>
          <w:rFonts w:ascii="ArialMT" w:hAnsi="ArialMT" w:cs="ArialMT"/>
          <w:b/>
        </w:rPr>
        <w:lastRenderedPageBreak/>
        <w:t>IV.   Questions about portfolio</w:t>
      </w:r>
    </w:p>
    <w:p w:rsidR="00E15D0E" w:rsidRPr="004E520F" w:rsidRDefault="00B42AFE" w:rsidP="00A0120C">
      <w:pPr>
        <w:tabs>
          <w:tab w:val="left" w:pos="5882"/>
        </w:tabs>
        <w:spacing w:before="100" w:beforeAutospacing="1" w:after="100" w:afterAutospacing="1" w:line="276" w:lineRule="auto"/>
        <w:rPr>
          <w:rFonts w:ascii="ArialMT" w:hAnsi="ArialMT" w:cs="ArialMT"/>
          <w:color w:val="0000FF"/>
        </w:rPr>
      </w:pPr>
      <w:r w:rsidRPr="004E520F">
        <w:rPr>
          <w:rFonts w:ascii="ArialMT" w:hAnsi="ArialMT" w:cs="ArialMT"/>
          <w:color w:val="0000FF"/>
        </w:rPr>
        <w:t xml:space="preserve">The remarkable diversity of projects supported by SEP is to be expected from the emergence surface Earth sciences, and the SEP </w:t>
      </w:r>
      <w:r w:rsidR="00AD110A">
        <w:rPr>
          <w:rFonts w:ascii="ArialMT" w:hAnsi="ArialMT" w:cs="ArialMT"/>
          <w:color w:val="0000FF"/>
        </w:rPr>
        <w:t>Program Officer</w:t>
      </w:r>
      <w:r w:rsidR="007C618F">
        <w:rPr>
          <w:rFonts w:ascii="ArialMT" w:hAnsi="ArialMT" w:cs="ArialMT"/>
          <w:color w:val="0000FF"/>
        </w:rPr>
        <w:t>s</w:t>
      </w:r>
      <w:r w:rsidRPr="004E520F">
        <w:rPr>
          <w:rFonts w:ascii="ArialMT" w:hAnsi="ArialMT" w:cs="ArialMT"/>
          <w:color w:val="0000FF"/>
        </w:rPr>
        <w:t xml:space="preserve"> are </w:t>
      </w:r>
      <w:r w:rsidR="003732AD">
        <w:rPr>
          <w:rFonts w:ascii="ArialMT" w:hAnsi="ArialMT" w:cs="ArialMT"/>
          <w:color w:val="0000FF"/>
        </w:rPr>
        <w:t>being</w:t>
      </w:r>
      <w:r w:rsidRPr="004E520F">
        <w:rPr>
          <w:rFonts w:ascii="ArialMT" w:hAnsi="ArialMT" w:cs="ArialMT"/>
          <w:color w:val="0000FF"/>
        </w:rPr>
        <w:t xml:space="preserve"> responsive to strategic developments in the</w:t>
      </w:r>
      <w:r w:rsidR="00DF117D" w:rsidRPr="004E520F">
        <w:rPr>
          <w:rFonts w:ascii="ArialMT" w:hAnsi="ArialMT" w:cs="ArialMT"/>
          <w:color w:val="0000FF"/>
        </w:rPr>
        <w:t>ir respective</w:t>
      </w:r>
      <w:r w:rsidRPr="004E520F">
        <w:rPr>
          <w:rFonts w:ascii="ArialMT" w:hAnsi="ArialMT" w:cs="ArialMT"/>
          <w:color w:val="0000FF"/>
        </w:rPr>
        <w:t xml:space="preserve"> field.  We appreciate the confidence of the COV on the scope and diversity of our programs.  This</w:t>
      </w:r>
      <w:r w:rsidR="00DF117D" w:rsidRPr="004E520F">
        <w:rPr>
          <w:rFonts w:ascii="ArialMT" w:hAnsi="ArialMT" w:cs="ArialMT"/>
          <w:color w:val="0000FF"/>
        </w:rPr>
        <w:t xml:space="preserve"> diversity</w:t>
      </w:r>
      <w:r w:rsidRPr="004E520F">
        <w:rPr>
          <w:rFonts w:ascii="ArialMT" w:hAnsi="ArialMT" w:cs="ArialMT"/>
          <w:color w:val="0000FF"/>
        </w:rPr>
        <w:t xml:space="preserve">, </w:t>
      </w:r>
      <w:r w:rsidR="00DF117D" w:rsidRPr="004E520F">
        <w:rPr>
          <w:rFonts w:ascii="ArialMT" w:hAnsi="ArialMT" w:cs="ArialMT"/>
          <w:color w:val="0000FF"/>
        </w:rPr>
        <w:t>along</w:t>
      </w:r>
      <w:r w:rsidRPr="004E520F">
        <w:rPr>
          <w:rFonts w:ascii="ArialMT" w:hAnsi="ArialMT" w:cs="ArialMT"/>
          <w:color w:val="0000FF"/>
        </w:rPr>
        <w:t xml:space="preserve"> with the challenge of attracting more resources to </w:t>
      </w:r>
      <w:r w:rsidR="003732AD">
        <w:rPr>
          <w:rFonts w:ascii="ArialMT" w:hAnsi="ArialMT" w:cs="ArialMT"/>
          <w:color w:val="0000FF"/>
        </w:rPr>
        <w:t>SEP</w:t>
      </w:r>
      <w:r w:rsidRPr="004E520F">
        <w:rPr>
          <w:rFonts w:ascii="ArialMT" w:hAnsi="ArialMT" w:cs="ArialMT"/>
          <w:color w:val="0000FF"/>
        </w:rPr>
        <w:t xml:space="preserve"> programs is responsible for the modest sizes and durations of SEP grants</w:t>
      </w:r>
      <w:r w:rsidR="00192201" w:rsidRPr="004E520F">
        <w:rPr>
          <w:rFonts w:ascii="ArialMT" w:hAnsi="ArialMT" w:cs="ArialMT"/>
          <w:color w:val="0000FF"/>
        </w:rPr>
        <w:t xml:space="preserve">, as well as the </w:t>
      </w:r>
      <w:r w:rsidR="00DF117D" w:rsidRPr="004E520F">
        <w:rPr>
          <w:rFonts w:ascii="ArialMT" w:hAnsi="ArialMT" w:cs="ArialMT"/>
          <w:color w:val="0000FF"/>
        </w:rPr>
        <w:t>increasing difference between the requested and awarded project</w:t>
      </w:r>
      <w:r w:rsidR="00192201" w:rsidRPr="004E520F">
        <w:rPr>
          <w:rFonts w:ascii="ArialMT" w:hAnsi="ArialMT" w:cs="ArialMT"/>
          <w:color w:val="0000FF"/>
        </w:rPr>
        <w:t xml:space="preserve"> amount (e.g. Tables 1 and 2)</w:t>
      </w:r>
      <w:r w:rsidRPr="004E520F">
        <w:rPr>
          <w:rFonts w:ascii="ArialMT" w:hAnsi="ArialMT" w:cs="ArialMT"/>
          <w:color w:val="0000FF"/>
        </w:rPr>
        <w:t xml:space="preserve">.  The introduction of cross-cutting programs in GEO and </w:t>
      </w:r>
      <w:r w:rsidR="00DF117D" w:rsidRPr="004E520F">
        <w:rPr>
          <w:rFonts w:ascii="ArialMT" w:hAnsi="ArialMT" w:cs="ArialMT"/>
          <w:color w:val="0000FF"/>
        </w:rPr>
        <w:t>across NSF</w:t>
      </w:r>
      <w:r w:rsidRPr="004E520F">
        <w:rPr>
          <w:rFonts w:ascii="ArialMT" w:hAnsi="ArialMT" w:cs="ArialMT"/>
          <w:color w:val="0000FF"/>
        </w:rPr>
        <w:t xml:space="preserve">, has generally been </w:t>
      </w:r>
      <w:r w:rsidR="009E1F71">
        <w:rPr>
          <w:rFonts w:ascii="ArialMT" w:hAnsi="ArialMT" w:cs="ArialMT"/>
          <w:color w:val="0000FF"/>
        </w:rPr>
        <w:t>beneficial</w:t>
      </w:r>
      <w:r w:rsidR="009E1F71" w:rsidRPr="004E520F">
        <w:rPr>
          <w:rFonts w:ascii="ArialMT" w:hAnsi="ArialMT" w:cs="ArialMT"/>
          <w:color w:val="0000FF"/>
        </w:rPr>
        <w:t xml:space="preserve"> </w:t>
      </w:r>
      <w:r w:rsidRPr="004E520F">
        <w:rPr>
          <w:rFonts w:ascii="ArialMT" w:hAnsi="ArialMT" w:cs="ArialMT"/>
          <w:color w:val="0000FF"/>
        </w:rPr>
        <w:t xml:space="preserve">to the SEP community, and our </w:t>
      </w:r>
      <w:r w:rsidR="00AD110A">
        <w:rPr>
          <w:rFonts w:ascii="ArialMT" w:hAnsi="ArialMT" w:cs="ArialMT"/>
          <w:color w:val="0000FF"/>
        </w:rPr>
        <w:t>Program Officer</w:t>
      </w:r>
      <w:r w:rsidR="007C618F">
        <w:rPr>
          <w:rFonts w:ascii="ArialMT" w:hAnsi="ArialMT" w:cs="ArialMT"/>
          <w:color w:val="0000FF"/>
        </w:rPr>
        <w:t>s</w:t>
      </w:r>
      <w:r w:rsidRPr="004E520F">
        <w:rPr>
          <w:rFonts w:ascii="ArialMT" w:hAnsi="ArialMT" w:cs="ArialMT"/>
          <w:color w:val="0000FF"/>
        </w:rPr>
        <w:t xml:space="preserve"> are </w:t>
      </w:r>
      <w:r w:rsidR="00DF117D" w:rsidRPr="004E520F">
        <w:rPr>
          <w:rFonts w:ascii="ArialMT" w:hAnsi="ArialMT" w:cs="ArialMT"/>
          <w:color w:val="0000FF"/>
        </w:rPr>
        <w:t xml:space="preserve">untiringly </w:t>
      </w:r>
      <w:r w:rsidRPr="004E520F">
        <w:rPr>
          <w:rFonts w:ascii="ArialMT" w:hAnsi="ArialMT" w:cs="ArialMT"/>
          <w:color w:val="0000FF"/>
        </w:rPr>
        <w:t>active in defining these solicitations</w:t>
      </w:r>
      <w:r w:rsidR="00DF117D" w:rsidRPr="004E520F">
        <w:rPr>
          <w:rFonts w:ascii="ArialMT" w:hAnsi="ArialMT" w:cs="ArialMT"/>
          <w:color w:val="0000FF"/>
        </w:rPr>
        <w:t xml:space="preserve"> (e.g., WSC, ETBC, EaSM, </w:t>
      </w:r>
      <w:r w:rsidR="009E1F71">
        <w:rPr>
          <w:rFonts w:ascii="ArialMT" w:hAnsi="ArialMT" w:cs="ArialMT"/>
          <w:color w:val="0000FF"/>
        </w:rPr>
        <w:t xml:space="preserve">FESD, </w:t>
      </w:r>
      <w:r w:rsidR="00DF117D" w:rsidRPr="004E520F">
        <w:rPr>
          <w:rFonts w:ascii="ArialMT" w:hAnsi="ArialMT" w:cs="ArialMT"/>
          <w:color w:val="0000FF"/>
        </w:rPr>
        <w:t>SEES)</w:t>
      </w:r>
      <w:r w:rsidRPr="004E520F">
        <w:rPr>
          <w:rFonts w:ascii="ArialMT" w:hAnsi="ArialMT" w:cs="ArialMT"/>
          <w:color w:val="0000FF"/>
        </w:rPr>
        <w:t>, and inviting the SEP community to partake of these initiatives.</w:t>
      </w:r>
      <w:r w:rsidR="00A0120C" w:rsidRPr="004E520F">
        <w:rPr>
          <w:rFonts w:ascii="ArialMT" w:hAnsi="ArialMT" w:cs="ArialMT"/>
          <w:color w:val="0000FF"/>
        </w:rPr>
        <w:t xml:space="preserve">  </w:t>
      </w:r>
    </w:p>
    <w:tbl>
      <w:tblPr>
        <w:tblpPr w:leftFromText="180" w:rightFromText="180" w:vertAnchor="text" w:horzAnchor="margin" w:tblpXSpec="center" w:tblpY="1050"/>
        <w:tblW w:w="0" w:type="auto"/>
        <w:tblLayout w:type="fixed"/>
        <w:tblLook w:val="0000"/>
      </w:tblPr>
      <w:tblGrid>
        <w:gridCol w:w="1070"/>
        <w:gridCol w:w="1071"/>
        <w:gridCol w:w="1071"/>
        <w:gridCol w:w="1071"/>
        <w:gridCol w:w="1071"/>
      </w:tblGrid>
      <w:tr w:rsidR="00AE21EB" w:rsidRPr="00A0120C">
        <w:trPr>
          <w:trHeight w:val="300"/>
        </w:trPr>
        <w:tc>
          <w:tcPr>
            <w:tcW w:w="1070" w:type="dxa"/>
            <w:tcBorders>
              <w:top w:val="single" w:sz="4" w:space="0" w:color="000000"/>
              <w:bottom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rPr>
                <w:rFonts w:ascii="ArialMT" w:hAnsi="ArialMT" w:cs="ArialMT"/>
                <w:sz w:val="18"/>
                <w:szCs w:val="18"/>
              </w:rPr>
            </w:pPr>
          </w:p>
        </w:tc>
        <w:tc>
          <w:tcPr>
            <w:tcW w:w="1071" w:type="dxa"/>
            <w:tcBorders>
              <w:top w:val="single" w:sz="4" w:space="0" w:color="000000"/>
              <w:bottom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FY08</w:t>
            </w:r>
          </w:p>
        </w:tc>
        <w:tc>
          <w:tcPr>
            <w:tcW w:w="1071" w:type="dxa"/>
            <w:tcBorders>
              <w:top w:val="single" w:sz="4" w:space="0" w:color="000000"/>
              <w:bottom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FY09</w:t>
            </w:r>
          </w:p>
        </w:tc>
        <w:tc>
          <w:tcPr>
            <w:tcW w:w="1071" w:type="dxa"/>
            <w:tcBorders>
              <w:top w:val="single" w:sz="4" w:space="0" w:color="000000"/>
              <w:bottom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rPr>
                <w:rFonts w:ascii="ArialMT" w:hAnsi="ArialMT" w:cs="ArialMT"/>
                <w:sz w:val="18"/>
                <w:szCs w:val="18"/>
              </w:rPr>
            </w:pPr>
            <w:r w:rsidRPr="00A0120C">
              <w:rPr>
                <w:rFonts w:ascii="ArialMT" w:hAnsi="ArialMT" w:cs="ArialMT"/>
                <w:sz w:val="18"/>
                <w:szCs w:val="18"/>
              </w:rPr>
              <w:t xml:space="preserve">FY09 </w:t>
            </w:r>
          </w:p>
          <w:p w:rsidR="00AE21EB" w:rsidRPr="00A0120C" w:rsidRDefault="00AE21EB" w:rsidP="00AE21EB">
            <w:pPr>
              <w:spacing w:before="100" w:beforeAutospacing="1" w:after="100" w:afterAutospacing="1" w:line="276" w:lineRule="auto"/>
              <w:rPr>
                <w:rFonts w:ascii="ArialMT" w:hAnsi="ArialMT" w:cs="ArialMT"/>
                <w:sz w:val="18"/>
                <w:szCs w:val="18"/>
              </w:rPr>
            </w:pPr>
            <w:r w:rsidRPr="00A0120C">
              <w:rPr>
                <w:rFonts w:ascii="ArialMT" w:hAnsi="ArialMT" w:cs="ArialMT"/>
                <w:sz w:val="18"/>
                <w:szCs w:val="18"/>
              </w:rPr>
              <w:t>w/out ARRA</w:t>
            </w:r>
          </w:p>
        </w:tc>
        <w:tc>
          <w:tcPr>
            <w:tcW w:w="1071" w:type="dxa"/>
            <w:tcBorders>
              <w:top w:val="single" w:sz="4" w:space="0" w:color="000000"/>
              <w:bottom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FY10</w:t>
            </w:r>
          </w:p>
        </w:tc>
      </w:tr>
      <w:tr w:rsidR="00AE21EB" w:rsidRPr="00A0120C">
        <w:trPr>
          <w:trHeight w:val="300"/>
        </w:trPr>
        <w:tc>
          <w:tcPr>
            <w:tcW w:w="1070" w:type="dxa"/>
            <w:tcBorders>
              <w:top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right"/>
              <w:rPr>
                <w:rFonts w:ascii="ArialMT" w:hAnsi="ArialMT" w:cs="ArialMT"/>
                <w:sz w:val="18"/>
                <w:szCs w:val="18"/>
              </w:rPr>
            </w:pPr>
            <w:r w:rsidRPr="00A0120C">
              <w:rPr>
                <w:rFonts w:ascii="ArialMT" w:hAnsi="ArialMT" w:cs="ArialMT"/>
                <w:sz w:val="18"/>
                <w:szCs w:val="18"/>
              </w:rPr>
              <w:t>0%</w:t>
            </w:r>
          </w:p>
        </w:tc>
        <w:tc>
          <w:tcPr>
            <w:tcW w:w="1071" w:type="dxa"/>
            <w:tcBorders>
              <w:top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39</w:t>
            </w:r>
          </w:p>
        </w:tc>
        <w:tc>
          <w:tcPr>
            <w:tcW w:w="1071" w:type="dxa"/>
            <w:tcBorders>
              <w:top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68</w:t>
            </w:r>
          </w:p>
        </w:tc>
        <w:tc>
          <w:tcPr>
            <w:tcW w:w="1071" w:type="dxa"/>
            <w:tcBorders>
              <w:top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85</w:t>
            </w:r>
          </w:p>
        </w:tc>
        <w:tc>
          <w:tcPr>
            <w:tcW w:w="1071" w:type="dxa"/>
            <w:tcBorders>
              <w:top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51</w:t>
            </w:r>
          </w:p>
        </w:tc>
      </w:tr>
      <w:tr w:rsidR="00AE21EB" w:rsidRPr="00A0120C">
        <w:trPr>
          <w:trHeight w:val="300"/>
        </w:trPr>
        <w:tc>
          <w:tcPr>
            <w:tcW w:w="1070" w:type="dxa"/>
            <w:shd w:val="clear" w:color="auto" w:fill="auto"/>
            <w:vAlign w:val="bottom"/>
          </w:tcPr>
          <w:p w:rsidR="00AE21EB" w:rsidRPr="00A0120C" w:rsidRDefault="00AE21EB" w:rsidP="00AE21EB">
            <w:pPr>
              <w:snapToGrid w:val="0"/>
              <w:spacing w:before="100" w:beforeAutospacing="1" w:after="100" w:afterAutospacing="1" w:line="276" w:lineRule="auto"/>
              <w:jc w:val="right"/>
              <w:rPr>
                <w:rFonts w:ascii="ArialMT" w:hAnsi="ArialMT" w:cs="ArialMT"/>
                <w:sz w:val="18"/>
                <w:szCs w:val="18"/>
              </w:rPr>
            </w:pPr>
            <w:r w:rsidRPr="00A0120C">
              <w:rPr>
                <w:rFonts w:ascii="ArialMT" w:hAnsi="ArialMT" w:cs="ArialMT"/>
                <w:sz w:val="18"/>
                <w:szCs w:val="18"/>
              </w:rPr>
              <w:t>up to 20%</w:t>
            </w:r>
          </w:p>
        </w:tc>
        <w:tc>
          <w:tcPr>
            <w:tcW w:w="1071" w:type="dxa"/>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17</w:t>
            </w:r>
          </w:p>
        </w:tc>
        <w:tc>
          <w:tcPr>
            <w:tcW w:w="1071" w:type="dxa"/>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5</w:t>
            </w:r>
          </w:p>
        </w:tc>
        <w:tc>
          <w:tcPr>
            <w:tcW w:w="1071" w:type="dxa"/>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8</w:t>
            </w:r>
          </w:p>
        </w:tc>
        <w:tc>
          <w:tcPr>
            <w:tcW w:w="1071" w:type="dxa"/>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37</w:t>
            </w:r>
          </w:p>
        </w:tc>
      </w:tr>
      <w:tr w:rsidR="00AE21EB" w:rsidRPr="00A0120C">
        <w:trPr>
          <w:trHeight w:val="300"/>
        </w:trPr>
        <w:tc>
          <w:tcPr>
            <w:tcW w:w="1070" w:type="dxa"/>
            <w:tcBorders>
              <w:bottom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right"/>
              <w:rPr>
                <w:rFonts w:ascii="ArialMT" w:hAnsi="ArialMT" w:cs="ArialMT"/>
                <w:sz w:val="18"/>
                <w:szCs w:val="18"/>
              </w:rPr>
            </w:pPr>
            <w:r w:rsidRPr="00A0120C">
              <w:rPr>
                <w:rFonts w:ascii="ArialMT" w:hAnsi="ArialMT" w:cs="ArialMT"/>
                <w:sz w:val="18"/>
                <w:szCs w:val="18"/>
              </w:rPr>
              <w:t>&gt; 20%</w:t>
            </w:r>
          </w:p>
        </w:tc>
        <w:tc>
          <w:tcPr>
            <w:tcW w:w="1071" w:type="dxa"/>
            <w:tcBorders>
              <w:bottom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43</w:t>
            </w:r>
          </w:p>
        </w:tc>
        <w:tc>
          <w:tcPr>
            <w:tcW w:w="1071" w:type="dxa"/>
            <w:tcBorders>
              <w:bottom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25</w:t>
            </w:r>
          </w:p>
        </w:tc>
        <w:tc>
          <w:tcPr>
            <w:tcW w:w="1071" w:type="dxa"/>
            <w:tcBorders>
              <w:bottom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8</w:t>
            </w:r>
          </w:p>
        </w:tc>
        <w:tc>
          <w:tcPr>
            <w:tcW w:w="1071" w:type="dxa"/>
            <w:tcBorders>
              <w:bottom w:val="single" w:sz="4" w:space="0" w:color="000000"/>
            </w:tcBorders>
            <w:shd w:val="clear" w:color="auto" w:fill="auto"/>
            <w:vAlign w:val="bottom"/>
          </w:tcPr>
          <w:p w:rsidR="00AE21EB" w:rsidRPr="00A0120C" w:rsidRDefault="00AE21EB" w:rsidP="00AE21EB">
            <w:pPr>
              <w:snapToGrid w:val="0"/>
              <w:spacing w:before="100" w:beforeAutospacing="1" w:after="100" w:afterAutospacing="1" w:line="276" w:lineRule="auto"/>
              <w:jc w:val="center"/>
              <w:rPr>
                <w:rFonts w:ascii="ArialMT" w:hAnsi="ArialMT" w:cs="ArialMT"/>
                <w:sz w:val="18"/>
                <w:szCs w:val="18"/>
              </w:rPr>
            </w:pPr>
            <w:r w:rsidRPr="00A0120C">
              <w:rPr>
                <w:rFonts w:ascii="ArialMT" w:hAnsi="ArialMT" w:cs="ArialMT"/>
                <w:sz w:val="18"/>
                <w:szCs w:val="18"/>
              </w:rPr>
              <w:t>12</w:t>
            </w:r>
          </w:p>
        </w:tc>
      </w:tr>
    </w:tbl>
    <w:p w:rsidR="00AE21EB" w:rsidRDefault="00AE21EB" w:rsidP="00AE21EB">
      <w:pPr>
        <w:spacing w:before="100" w:beforeAutospacing="1" w:after="100" w:afterAutospacing="1" w:line="276" w:lineRule="auto"/>
        <w:jc w:val="center"/>
        <w:rPr>
          <w:rFonts w:ascii="ArialMT" w:hAnsi="ArialMT" w:cs="ArialMT"/>
        </w:rPr>
      </w:pPr>
      <w:r>
        <w:rPr>
          <w:rFonts w:ascii="ArialMT" w:hAnsi="ArialMT" w:cs="ArialMT"/>
        </w:rPr>
        <w:t>Table 1: Percentage of funded projects without and with budget reductions for GG.</w:t>
      </w:r>
    </w:p>
    <w:p w:rsidR="00AE21EB" w:rsidRDefault="00AE21EB" w:rsidP="00A0120C">
      <w:pPr>
        <w:tabs>
          <w:tab w:val="left" w:pos="5882"/>
        </w:tabs>
        <w:spacing w:before="100" w:beforeAutospacing="1" w:after="100" w:afterAutospacing="1" w:line="276" w:lineRule="auto"/>
        <w:rPr>
          <w:rFonts w:ascii="Arial" w:hAnsi="Arial" w:cs="Arial"/>
          <w:iCs/>
          <w:color w:val="0000FF"/>
        </w:rPr>
      </w:pPr>
    </w:p>
    <w:p w:rsidR="00AE21EB" w:rsidRDefault="00AE21EB" w:rsidP="00A0120C">
      <w:pPr>
        <w:tabs>
          <w:tab w:val="left" w:pos="5882"/>
        </w:tabs>
        <w:spacing w:before="100" w:beforeAutospacing="1" w:after="100" w:afterAutospacing="1" w:line="276" w:lineRule="auto"/>
        <w:rPr>
          <w:rFonts w:ascii="Arial" w:hAnsi="Arial" w:cs="Arial"/>
          <w:iCs/>
          <w:color w:val="0000FF"/>
        </w:rPr>
      </w:pPr>
    </w:p>
    <w:p w:rsidR="00AE21EB" w:rsidRDefault="00AE21EB" w:rsidP="00A0120C">
      <w:pPr>
        <w:tabs>
          <w:tab w:val="left" w:pos="5882"/>
        </w:tabs>
        <w:spacing w:before="100" w:beforeAutospacing="1" w:after="100" w:afterAutospacing="1" w:line="276" w:lineRule="auto"/>
        <w:rPr>
          <w:rFonts w:ascii="Arial" w:hAnsi="Arial" w:cs="Arial"/>
          <w:iCs/>
          <w:color w:val="0000FF"/>
        </w:rPr>
      </w:pPr>
    </w:p>
    <w:p w:rsidR="00AE21EB" w:rsidRDefault="00AE21EB" w:rsidP="00A0120C">
      <w:pPr>
        <w:tabs>
          <w:tab w:val="left" w:pos="5882"/>
        </w:tabs>
        <w:spacing w:before="100" w:beforeAutospacing="1" w:after="100" w:afterAutospacing="1" w:line="276" w:lineRule="auto"/>
        <w:rPr>
          <w:rFonts w:ascii="Arial" w:hAnsi="Arial" w:cs="Arial"/>
          <w:iCs/>
          <w:color w:val="0000FF"/>
        </w:rPr>
      </w:pPr>
    </w:p>
    <w:p w:rsidR="00AE21EB" w:rsidRDefault="00AE21EB" w:rsidP="00A0120C">
      <w:pPr>
        <w:tabs>
          <w:tab w:val="left" w:pos="5882"/>
        </w:tabs>
        <w:spacing w:before="100" w:beforeAutospacing="1" w:after="100" w:afterAutospacing="1" w:line="276" w:lineRule="auto"/>
        <w:rPr>
          <w:rFonts w:ascii="Arial" w:hAnsi="Arial" w:cs="Arial"/>
          <w:iCs/>
          <w:color w:val="0000FF"/>
        </w:rPr>
      </w:pPr>
    </w:p>
    <w:tbl>
      <w:tblPr>
        <w:tblpPr w:leftFromText="180" w:rightFromText="180" w:vertAnchor="text" w:horzAnchor="margin" w:tblpY="40"/>
        <w:tblW w:w="0" w:type="auto"/>
        <w:tblBorders>
          <w:top w:val="single" w:sz="4" w:space="0" w:color="auto"/>
          <w:bottom w:val="single" w:sz="4" w:space="0" w:color="auto"/>
          <w:insideH w:val="single" w:sz="4" w:space="0" w:color="auto"/>
          <w:insideV w:val="single" w:sz="4" w:space="0" w:color="auto"/>
        </w:tblBorders>
        <w:tblLook w:val="04A0"/>
      </w:tblPr>
      <w:tblGrid>
        <w:gridCol w:w="788"/>
        <w:gridCol w:w="1735"/>
        <w:gridCol w:w="1035"/>
        <w:gridCol w:w="1197"/>
        <w:gridCol w:w="1197"/>
        <w:gridCol w:w="928"/>
        <w:gridCol w:w="1976"/>
      </w:tblGrid>
      <w:tr w:rsidR="00AE21EB">
        <w:tc>
          <w:tcPr>
            <w:tcW w:w="8856" w:type="dxa"/>
            <w:gridSpan w:val="7"/>
            <w:tcBorders>
              <w:bottom w:val="nil"/>
            </w:tcBorders>
          </w:tcPr>
          <w:p w:rsidR="00AE21EB" w:rsidRPr="006075F3" w:rsidRDefault="00AE21EB" w:rsidP="00AE21EB">
            <w:pPr>
              <w:jc w:val="center"/>
              <w:rPr>
                <w:rFonts w:cs="Mangal"/>
                <w:szCs w:val="21"/>
              </w:rPr>
            </w:pPr>
            <w:r w:rsidRPr="006075F3">
              <w:rPr>
                <w:rFonts w:ascii="ArialMT" w:hAnsi="ArialMT" w:cs="ArialMT"/>
                <w:b/>
                <w:szCs w:val="21"/>
              </w:rPr>
              <w:t>Number of awarded proposals falling into budget reduction categories (by percentage)</w:t>
            </w:r>
          </w:p>
        </w:tc>
      </w:tr>
      <w:tr w:rsidR="00AE21EB">
        <w:tc>
          <w:tcPr>
            <w:tcW w:w="788" w:type="dxa"/>
            <w:tcBorders>
              <w:top w:val="nil"/>
              <w:left w:val="nil"/>
              <w:bottom w:val="single" w:sz="4" w:space="0" w:color="auto"/>
              <w:right w:val="nil"/>
            </w:tcBorders>
          </w:tcPr>
          <w:p w:rsidR="00AE21EB" w:rsidRPr="006075F3" w:rsidRDefault="00AE21EB" w:rsidP="00AE21EB">
            <w:pPr>
              <w:rPr>
                <w:rFonts w:cs="Mangal"/>
                <w:szCs w:val="21"/>
              </w:rPr>
            </w:pPr>
          </w:p>
        </w:tc>
        <w:tc>
          <w:tcPr>
            <w:tcW w:w="1735" w:type="dxa"/>
            <w:tcBorders>
              <w:top w:val="nil"/>
              <w:left w:val="nil"/>
              <w:bottom w:val="single" w:sz="4" w:space="0" w:color="auto"/>
              <w:right w:val="nil"/>
            </w:tcBorders>
          </w:tcPr>
          <w:p w:rsidR="00AE21EB" w:rsidRPr="006075F3" w:rsidRDefault="00AE21EB" w:rsidP="00AE21EB">
            <w:pPr>
              <w:jc w:val="center"/>
              <w:rPr>
                <w:rFonts w:ascii="ArialMT" w:hAnsi="ArialMT" w:cs="ArialMT"/>
                <w:b/>
                <w:szCs w:val="21"/>
              </w:rPr>
            </w:pPr>
            <w:r w:rsidRPr="006075F3">
              <w:rPr>
                <w:rFonts w:ascii="ArialMT" w:hAnsi="ArialMT" w:cs="ArialMT"/>
                <w:b/>
                <w:szCs w:val="21"/>
              </w:rPr>
              <w:t>Total awards</w:t>
            </w:r>
          </w:p>
        </w:tc>
        <w:tc>
          <w:tcPr>
            <w:tcW w:w="1035" w:type="dxa"/>
            <w:tcBorders>
              <w:top w:val="nil"/>
              <w:left w:val="nil"/>
              <w:bottom w:val="single" w:sz="4" w:space="0" w:color="auto"/>
              <w:right w:val="nil"/>
            </w:tcBorders>
          </w:tcPr>
          <w:p w:rsidR="00AE21EB" w:rsidRPr="006075F3" w:rsidRDefault="00AE21EB" w:rsidP="00AE21EB">
            <w:pPr>
              <w:jc w:val="center"/>
              <w:rPr>
                <w:rFonts w:ascii="ArialMT" w:hAnsi="ArialMT" w:cs="ArialMT"/>
                <w:b/>
                <w:szCs w:val="21"/>
              </w:rPr>
            </w:pPr>
            <w:r w:rsidRPr="006075F3">
              <w:rPr>
                <w:rFonts w:ascii="ArialMT" w:hAnsi="ArialMT" w:cs="ArialMT"/>
                <w:b/>
                <w:szCs w:val="21"/>
              </w:rPr>
              <w:t>&lt;10%</w:t>
            </w:r>
          </w:p>
        </w:tc>
        <w:tc>
          <w:tcPr>
            <w:tcW w:w="1197" w:type="dxa"/>
            <w:tcBorders>
              <w:top w:val="nil"/>
              <w:left w:val="nil"/>
              <w:bottom w:val="single" w:sz="4" w:space="0" w:color="auto"/>
              <w:right w:val="nil"/>
            </w:tcBorders>
          </w:tcPr>
          <w:p w:rsidR="00AE21EB" w:rsidRPr="006075F3" w:rsidRDefault="00AE21EB" w:rsidP="00AE21EB">
            <w:pPr>
              <w:jc w:val="center"/>
              <w:rPr>
                <w:rFonts w:ascii="ArialMT" w:hAnsi="ArialMT" w:cs="ArialMT"/>
                <w:b/>
                <w:szCs w:val="21"/>
              </w:rPr>
            </w:pPr>
            <w:r w:rsidRPr="006075F3">
              <w:rPr>
                <w:rFonts w:ascii="ArialMT" w:hAnsi="ArialMT" w:cs="ArialMT"/>
                <w:b/>
                <w:szCs w:val="21"/>
              </w:rPr>
              <w:t>10-20%</w:t>
            </w:r>
          </w:p>
        </w:tc>
        <w:tc>
          <w:tcPr>
            <w:tcW w:w="1197" w:type="dxa"/>
            <w:tcBorders>
              <w:top w:val="nil"/>
              <w:left w:val="nil"/>
              <w:bottom w:val="single" w:sz="4" w:space="0" w:color="auto"/>
              <w:right w:val="nil"/>
            </w:tcBorders>
          </w:tcPr>
          <w:p w:rsidR="00AE21EB" w:rsidRPr="006075F3" w:rsidRDefault="00AE21EB" w:rsidP="00AE21EB">
            <w:pPr>
              <w:jc w:val="center"/>
              <w:rPr>
                <w:rFonts w:ascii="ArialMT" w:hAnsi="ArialMT" w:cs="ArialMT"/>
                <w:b/>
                <w:szCs w:val="21"/>
              </w:rPr>
            </w:pPr>
            <w:r w:rsidRPr="006075F3">
              <w:rPr>
                <w:rFonts w:ascii="ArialMT" w:hAnsi="ArialMT" w:cs="ArialMT"/>
                <w:b/>
                <w:szCs w:val="21"/>
              </w:rPr>
              <w:t>20-50%</w:t>
            </w:r>
          </w:p>
        </w:tc>
        <w:tc>
          <w:tcPr>
            <w:tcW w:w="928" w:type="dxa"/>
            <w:tcBorders>
              <w:top w:val="nil"/>
              <w:left w:val="nil"/>
              <w:bottom w:val="single" w:sz="4" w:space="0" w:color="auto"/>
              <w:right w:val="nil"/>
            </w:tcBorders>
          </w:tcPr>
          <w:p w:rsidR="00AE21EB" w:rsidRPr="006075F3" w:rsidRDefault="00AE21EB" w:rsidP="00AE21EB">
            <w:pPr>
              <w:jc w:val="center"/>
              <w:rPr>
                <w:rFonts w:ascii="ArialMT" w:hAnsi="ArialMT" w:cs="ArialMT"/>
                <w:b/>
                <w:szCs w:val="21"/>
              </w:rPr>
            </w:pPr>
            <w:r w:rsidRPr="006075F3">
              <w:rPr>
                <w:rFonts w:ascii="ArialMT" w:hAnsi="ArialMT" w:cs="ArialMT"/>
                <w:b/>
                <w:szCs w:val="21"/>
              </w:rPr>
              <w:t>&gt;50%</w:t>
            </w:r>
          </w:p>
        </w:tc>
        <w:tc>
          <w:tcPr>
            <w:tcW w:w="1976" w:type="dxa"/>
            <w:tcBorders>
              <w:top w:val="nil"/>
              <w:left w:val="nil"/>
              <w:bottom w:val="single" w:sz="4" w:space="0" w:color="auto"/>
              <w:right w:val="nil"/>
            </w:tcBorders>
          </w:tcPr>
          <w:p w:rsidR="00AE21EB" w:rsidRPr="006075F3" w:rsidRDefault="00AE21EB" w:rsidP="00AE21EB">
            <w:pPr>
              <w:jc w:val="center"/>
              <w:rPr>
                <w:rFonts w:ascii="ArialMT" w:hAnsi="ArialMT" w:cs="ArialMT"/>
                <w:b/>
                <w:szCs w:val="21"/>
              </w:rPr>
            </w:pPr>
            <w:r w:rsidRPr="006075F3">
              <w:rPr>
                <w:rFonts w:ascii="ArialMT" w:hAnsi="ArialMT" w:cs="ArialMT"/>
                <w:b/>
                <w:szCs w:val="21"/>
              </w:rPr>
              <w:t>Total awards with &gt;20% reduction</w:t>
            </w:r>
          </w:p>
        </w:tc>
      </w:tr>
      <w:tr w:rsidR="00AE21EB">
        <w:tc>
          <w:tcPr>
            <w:tcW w:w="788" w:type="dxa"/>
            <w:tcBorders>
              <w:top w:val="single" w:sz="4" w:space="0" w:color="auto"/>
              <w:left w:val="nil"/>
              <w:bottom w:val="nil"/>
              <w:right w:val="nil"/>
            </w:tcBorders>
            <w:vAlign w:val="bottom"/>
          </w:tcPr>
          <w:p w:rsidR="00AE21EB" w:rsidRPr="006075F3" w:rsidRDefault="00AE21EB" w:rsidP="00AE21EB">
            <w:pPr>
              <w:snapToGrid w:val="0"/>
              <w:spacing w:line="276" w:lineRule="auto"/>
              <w:rPr>
                <w:rFonts w:ascii="ArialMT" w:hAnsi="ArialMT" w:cs="ArialMT"/>
                <w:szCs w:val="21"/>
              </w:rPr>
            </w:pPr>
            <w:r w:rsidRPr="006075F3">
              <w:rPr>
                <w:rFonts w:ascii="ArialMT" w:hAnsi="ArialMT" w:cs="ArialMT"/>
                <w:szCs w:val="21"/>
              </w:rPr>
              <w:t>F07</w:t>
            </w:r>
          </w:p>
        </w:tc>
        <w:tc>
          <w:tcPr>
            <w:tcW w:w="1735" w:type="dxa"/>
            <w:tcBorders>
              <w:top w:val="single" w:sz="4" w:space="0" w:color="auto"/>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30</w:t>
            </w:r>
          </w:p>
        </w:tc>
        <w:tc>
          <w:tcPr>
            <w:tcW w:w="1035" w:type="dxa"/>
            <w:tcBorders>
              <w:top w:val="single" w:sz="4" w:space="0" w:color="auto"/>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13</w:t>
            </w:r>
          </w:p>
        </w:tc>
        <w:tc>
          <w:tcPr>
            <w:tcW w:w="1197" w:type="dxa"/>
            <w:tcBorders>
              <w:top w:val="single" w:sz="4" w:space="0" w:color="auto"/>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8</w:t>
            </w:r>
          </w:p>
        </w:tc>
        <w:tc>
          <w:tcPr>
            <w:tcW w:w="1197" w:type="dxa"/>
            <w:tcBorders>
              <w:top w:val="single" w:sz="4" w:space="0" w:color="auto"/>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5</w:t>
            </w:r>
          </w:p>
        </w:tc>
        <w:tc>
          <w:tcPr>
            <w:tcW w:w="928" w:type="dxa"/>
            <w:tcBorders>
              <w:top w:val="single" w:sz="4" w:space="0" w:color="auto"/>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4</w:t>
            </w:r>
          </w:p>
        </w:tc>
        <w:tc>
          <w:tcPr>
            <w:tcW w:w="1976" w:type="dxa"/>
            <w:tcBorders>
              <w:top w:val="single" w:sz="4" w:space="0" w:color="auto"/>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30.0%</w:t>
            </w:r>
          </w:p>
        </w:tc>
      </w:tr>
      <w:tr w:rsidR="00AE21EB">
        <w:tc>
          <w:tcPr>
            <w:tcW w:w="788" w:type="dxa"/>
            <w:tcBorders>
              <w:top w:val="nil"/>
              <w:left w:val="nil"/>
              <w:bottom w:val="nil"/>
              <w:right w:val="nil"/>
            </w:tcBorders>
            <w:vAlign w:val="bottom"/>
          </w:tcPr>
          <w:p w:rsidR="00AE21EB" w:rsidRPr="006075F3" w:rsidRDefault="00AE21EB" w:rsidP="00AE21EB">
            <w:pPr>
              <w:snapToGrid w:val="0"/>
              <w:spacing w:line="276" w:lineRule="auto"/>
              <w:rPr>
                <w:rFonts w:ascii="ArialMT" w:hAnsi="ArialMT" w:cs="ArialMT"/>
                <w:szCs w:val="21"/>
              </w:rPr>
            </w:pPr>
            <w:r w:rsidRPr="006075F3">
              <w:rPr>
                <w:rFonts w:ascii="ArialMT" w:hAnsi="ArialMT" w:cs="ArialMT"/>
                <w:szCs w:val="21"/>
              </w:rPr>
              <w:t>S08</w:t>
            </w:r>
          </w:p>
        </w:tc>
        <w:tc>
          <w:tcPr>
            <w:tcW w:w="1735"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18</w:t>
            </w:r>
          </w:p>
        </w:tc>
        <w:tc>
          <w:tcPr>
            <w:tcW w:w="1035"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8</w:t>
            </w:r>
          </w:p>
        </w:tc>
        <w:tc>
          <w:tcPr>
            <w:tcW w:w="1197"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8</w:t>
            </w:r>
          </w:p>
        </w:tc>
        <w:tc>
          <w:tcPr>
            <w:tcW w:w="1197"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w:t>
            </w:r>
          </w:p>
        </w:tc>
        <w:tc>
          <w:tcPr>
            <w:tcW w:w="928"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w:t>
            </w:r>
          </w:p>
        </w:tc>
        <w:tc>
          <w:tcPr>
            <w:tcW w:w="1976"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11.1%</w:t>
            </w:r>
          </w:p>
        </w:tc>
      </w:tr>
      <w:tr w:rsidR="00AE21EB">
        <w:tc>
          <w:tcPr>
            <w:tcW w:w="788" w:type="dxa"/>
            <w:tcBorders>
              <w:top w:val="nil"/>
              <w:left w:val="nil"/>
              <w:bottom w:val="nil"/>
              <w:right w:val="nil"/>
            </w:tcBorders>
            <w:vAlign w:val="bottom"/>
          </w:tcPr>
          <w:p w:rsidR="00AE21EB" w:rsidRPr="006075F3" w:rsidRDefault="00AE21EB" w:rsidP="00AE21EB">
            <w:pPr>
              <w:snapToGrid w:val="0"/>
              <w:spacing w:line="276" w:lineRule="auto"/>
              <w:rPr>
                <w:rFonts w:ascii="ArialMT" w:hAnsi="ArialMT" w:cs="ArialMT"/>
                <w:szCs w:val="21"/>
              </w:rPr>
            </w:pPr>
            <w:r w:rsidRPr="006075F3">
              <w:rPr>
                <w:rFonts w:ascii="ArialMT" w:hAnsi="ArialMT" w:cs="ArialMT"/>
                <w:szCs w:val="21"/>
              </w:rPr>
              <w:t>F08</w:t>
            </w:r>
          </w:p>
        </w:tc>
        <w:tc>
          <w:tcPr>
            <w:tcW w:w="1735"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21</w:t>
            </w:r>
          </w:p>
        </w:tc>
        <w:tc>
          <w:tcPr>
            <w:tcW w:w="1035"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13</w:t>
            </w:r>
          </w:p>
        </w:tc>
        <w:tc>
          <w:tcPr>
            <w:tcW w:w="1197"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5</w:t>
            </w:r>
          </w:p>
        </w:tc>
        <w:tc>
          <w:tcPr>
            <w:tcW w:w="1197"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3</w:t>
            </w:r>
          </w:p>
        </w:tc>
        <w:tc>
          <w:tcPr>
            <w:tcW w:w="928"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0</w:t>
            </w:r>
          </w:p>
        </w:tc>
        <w:tc>
          <w:tcPr>
            <w:tcW w:w="1976"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14.3%</w:t>
            </w:r>
          </w:p>
        </w:tc>
      </w:tr>
      <w:tr w:rsidR="00AE21EB">
        <w:tc>
          <w:tcPr>
            <w:tcW w:w="788" w:type="dxa"/>
            <w:tcBorders>
              <w:top w:val="nil"/>
              <w:left w:val="nil"/>
              <w:bottom w:val="nil"/>
              <w:right w:val="nil"/>
            </w:tcBorders>
            <w:vAlign w:val="bottom"/>
          </w:tcPr>
          <w:p w:rsidR="00AE21EB" w:rsidRPr="006075F3" w:rsidRDefault="00AE21EB" w:rsidP="00AE21EB">
            <w:pPr>
              <w:snapToGrid w:val="0"/>
              <w:spacing w:line="276" w:lineRule="auto"/>
              <w:rPr>
                <w:rFonts w:ascii="ArialMT" w:hAnsi="ArialMT" w:cs="ArialMT"/>
                <w:szCs w:val="21"/>
              </w:rPr>
            </w:pPr>
            <w:r w:rsidRPr="006075F3">
              <w:rPr>
                <w:rFonts w:ascii="ArialMT" w:hAnsi="ArialMT" w:cs="ArialMT"/>
                <w:szCs w:val="21"/>
              </w:rPr>
              <w:t xml:space="preserve">S09 </w:t>
            </w:r>
          </w:p>
        </w:tc>
        <w:tc>
          <w:tcPr>
            <w:tcW w:w="1735"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6</w:t>
            </w:r>
          </w:p>
        </w:tc>
        <w:tc>
          <w:tcPr>
            <w:tcW w:w="1035"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2</w:t>
            </w:r>
          </w:p>
        </w:tc>
        <w:tc>
          <w:tcPr>
            <w:tcW w:w="1197"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3</w:t>
            </w:r>
          </w:p>
        </w:tc>
        <w:tc>
          <w:tcPr>
            <w:tcW w:w="1197"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0</w:t>
            </w:r>
          </w:p>
        </w:tc>
        <w:tc>
          <w:tcPr>
            <w:tcW w:w="928"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w:t>
            </w:r>
          </w:p>
        </w:tc>
        <w:tc>
          <w:tcPr>
            <w:tcW w:w="1976"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16.7%</w:t>
            </w:r>
          </w:p>
        </w:tc>
      </w:tr>
      <w:tr w:rsidR="00AE21EB">
        <w:tc>
          <w:tcPr>
            <w:tcW w:w="788" w:type="dxa"/>
            <w:tcBorders>
              <w:top w:val="nil"/>
              <w:left w:val="nil"/>
              <w:bottom w:val="nil"/>
              <w:right w:val="nil"/>
            </w:tcBorders>
            <w:vAlign w:val="bottom"/>
          </w:tcPr>
          <w:p w:rsidR="00AE21EB" w:rsidRPr="006075F3" w:rsidRDefault="00AE21EB" w:rsidP="00AE21EB">
            <w:pPr>
              <w:snapToGrid w:val="0"/>
              <w:spacing w:line="276" w:lineRule="auto"/>
              <w:rPr>
                <w:rFonts w:ascii="ArialMT" w:hAnsi="ArialMT" w:cs="ArialMT"/>
                <w:szCs w:val="21"/>
              </w:rPr>
            </w:pPr>
            <w:r w:rsidRPr="006075F3">
              <w:rPr>
                <w:rFonts w:ascii="ArialMT" w:hAnsi="ArialMT" w:cs="ArialMT"/>
                <w:szCs w:val="21"/>
              </w:rPr>
              <w:t>F09</w:t>
            </w:r>
          </w:p>
        </w:tc>
        <w:tc>
          <w:tcPr>
            <w:tcW w:w="1735"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32</w:t>
            </w:r>
          </w:p>
        </w:tc>
        <w:tc>
          <w:tcPr>
            <w:tcW w:w="1035"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4</w:t>
            </w:r>
          </w:p>
        </w:tc>
        <w:tc>
          <w:tcPr>
            <w:tcW w:w="1197"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11</w:t>
            </w:r>
          </w:p>
        </w:tc>
        <w:tc>
          <w:tcPr>
            <w:tcW w:w="1197"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14</w:t>
            </w:r>
          </w:p>
        </w:tc>
        <w:tc>
          <w:tcPr>
            <w:tcW w:w="928"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3</w:t>
            </w:r>
          </w:p>
        </w:tc>
        <w:tc>
          <w:tcPr>
            <w:tcW w:w="1976" w:type="dxa"/>
            <w:tcBorders>
              <w:top w:val="nil"/>
              <w:left w:val="nil"/>
              <w:bottom w:val="nil"/>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53.1%</w:t>
            </w:r>
          </w:p>
        </w:tc>
      </w:tr>
      <w:tr w:rsidR="00AE21EB">
        <w:tc>
          <w:tcPr>
            <w:tcW w:w="788" w:type="dxa"/>
            <w:tcBorders>
              <w:top w:val="nil"/>
              <w:left w:val="nil"/>
              <w:bottom w:val="single" w:sz="4" w:space="0" w:color="auto"/>
              <w:right w:val="nil"/>
            </w:tcBorders>
            <w:vAlign w:val="bottom"/>
          </w:tcPr>
          <w:p w:rsidR="00AE21EB" w:rsidRPr="006075F3" w:rsidRDefault="00AE21EB" w:rsidP="00AE21EB">
            <w:pPr>
              <w:snapToGrid w:val="0"/>
              <w:spacing w:line="276" w:lineRule="auto"/>
              <w:rPr>
                <w:rFonts w:ascii="ArialMT" w:hAnsi="ArialMT" w:cs="ArialMT"/>
                <w:szCs w:val="21"/>
              </w:rPr>
            </w:pPr>
            <w:r w:rsidRPr="006075F3">
              <w:rPr>
                <w:rFonts w:ascii="ArialMT" w:hAnsi="ArialMT" w:cs="ArialMT"/>
                <w:szCs w:val="21"/>
              </w:rPr>
              <w:t>S10</w:t>
            </w:r>
          </w:p>
        </w:tc>
        <w:tc>
          <w:tcPr>
            <w:tcW w:w="1735" w:type="dxa"/>
            <w:tcBorders>
              <w:top w:val="nil"/>
              <w:left w:val="nil"/>
              <w:bottom w:val="single" w:sz="4" w:space="0" w:color="auto"/>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13</w:t>
            </w:r>
          </w:p>
        </w:tc>
        <w:tc>
          <w:tcPr>
            <w:tcW w:w="1035" w:type="dxa"/>
            <w:tcBorders>
              <w:top w:val="nil"/>
              <w:left w:val="nil"/>
              <w:bottom w:val="single" w:sz="4" w:space="0" w:color="auto"/>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5</w:t>
            </w:r>
          </w:p>
        </w:tc>
        <w:tc>
          <w:tcPr>
            <w:tcW w:w="1197" w:type="dxa"/>
            <w:tcBorders>
              <w:top w:val="nil"/>
              <w:left w:val="nil"/>
              <w:bottom w:val="single" w:sz="4" w:space="0" w:color="auto"/>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3</w:t>
            </w:r>
          </w:p>
        </w:tc>
        <w:tc>
          <w:tcPr>
            <w:tcW w:w="1197" w:type="dxa"/>
            <w:tcBorders>
              <w:top w:val="nil"/>
              <w:left w:val="nil"/>
              <w:bottom w:val="single" w:sz="4" w:space="0" w:color="auto"/>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5</w:t>
            </w:r>
          </w:p>
        </w:tc>
        <w:tc>
          <w:tcPr>
            <w:tcW w:w="928" w:type="dxa"/>
            <w:tcBorders>
              <w:top w:val="nil"/>
              <w:left w:val="nil"/>
              <w:bottom w:val="single" w:sz="4" w:space="0" w:color="auto"/>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0</w:t>
            </w:r>
          </w:p>
        </w:tc>
        <w:tc>
          <w:tcPr>
            <w:tcW w:w="1976" w:type="dxa"/>
            <w:tcBorders>
              <w:top w:val="nil"/>
              <w:left w:val="nil"/>
              <w:bottom w:val="single" w:sz="4" w:space="0" w:color="auto"/>
              <w:right w:val="nil"/>
            </w:tcBorders>
            <w:vAlign w:val="bottom"/>
          </w:tcPr>
          <w:p w:rsidR="00AE21EB" w:rsidRPr="006075F3" w:rsidRDefault="00AE21EB" w:rsidP="00AE21EB">
            <w:pPr>
              <w:snapToGrid w:val="0"/>
              <w:spacing w:line="276" w:lineRule="auto"/>
              <w:jc w:val="center"/>
              <w:rPr>
                <w:rFonts w:ascii="ArialMT" w:hAnsi="ArialMT" w:cs="ArialMT"/>
                <w:szCs w:val="21"/>
              </w:rPr>
            </w:pPr>
            <w:r w:rsidRPr="006075F3">
              <w:rPr>
                <w:rFonts w:ascii="ArialMT" w:hAnsi="ArialMT" w:cs="ArialMT"/>
                <w:szCs w:val="21"/>
              </w:rPr>
              <w:t>38.5%</w:t>
            </w:r>
          </w:p>
        </w:tc>
      </w:tr>
    </w:tbl>
    <w:p w:rsidR="00AE21EB" w:rsidRDefault="00AE21EB" w:rsidP="00AE21EB">
      <w:pPr>
        <w:spacing w:before="100" w:beforeAutospacing="1" w:after="100" w:afterAutospacing="1" w:line="276" w:lineRule="auto"/>
        <w:rPr>
          <w:rFonts w:ascii="ArialMT" w:hAnsi="ArialMT" w:cs="ArialMT"/>
        </w:rPr>
      </w:pPr>
      <w:r>
        <w:rPr>
          <w:rFonts w:ascii="ArialMT" w:hAnsi="ArialMT" w:cs="ArialMT"/>
        </w:rPr>
        <w:t>Table 2: Number of proposals with budget reductions for COV period by panel. Spring 09 panel excludes ARRA awards.</w:t>
      </w:r>
    </w:p>
    <w:p w:rsidR="00151367" w:rsidRPr="004E520F" w:rsidRDefault="00A0120C" w:rsidP="0056329C">
      <w:pPr>
        <w:tabs>
          <w:tab w:val="left" w:pos="5882"/>
        </w:tabs>
        <w:spacing w:before="100" w:beforeAutospacing="1" w:after="100" w:afterAutospacing="1" w:line="276" w:lineRule="auto"/>
        <w:rPr>
          <w:rFonts w:ascii="Arial" w:hAnsi="Arial" w:cs="Arial"/>
          <w:color w:val="0000FF"/>
        </w:rPr>
      </w:pPr>
      <w:r w:rsidRPr="004E520F">
        <w:rPr>
          <w:rFonts w:ascii="Arial" w:hAnsi="Arial" w:cs="Arial"/>
          <w:iCs/>
          <w:color w:val="0000FF"/>
        </w:rPr>
        <w:t xml:space="preserve">Surface </w:t>
      </w:r>
      <w:r w:rsidR="003732AD">
        <w:rPr>
          <w:rFonts w:ascii="Arial" w:hAnsi="Arial" w:cs="Arial"/>
          <w:iCs/>
          <w:color w:val="0000FF"/>
        </w:rPr>
        <w:t xml:space="preserve">Earth </w:t>
      </w:r>
      <w:r w:rsidRPr="004E520F">
        <w:rPr>
          <w:rFonts w:ascii="Arial" w:hAnsi="Arial" w:cs="Arial"/>
          <w:iCs/>
          <w:color w:val="0000FF"/>
        </w:rPr>
        <w:t xml:space="preserve">systems are complex and inextricably </w:t>
      </w:r>
      <w:r w:rsidR="00190048">
        <w:rPr>
          <w:rFonts w:ascii="Arial" w:hAnsi="Arial" w:cs="Arial"/>
          <w:iCs/>
          <w:color w:val="0000FF"/>
        </w:rPr>
        <w:t>inter</w:t>
      </w:r>
      <w:r w:rsidRPr="004E520F">
        <w:rPr>
          <w:rFonts w:ascii="Arial" w:hAnsi="Arial" w:cs="Arial"/>
          <w:iCs/>
          <w:color w:val="0000FF"/>
        </w:rPr>
        <w:t>linked, and demands an inter</w:t>
      </w:r>
      <w:r w:rsidR="008A44E4">
        <w:rPr>
          <w:rFonts w:ascii="Arial" w:hAnsi="Arial" w:cs="Arial"/>
          <w:iCs/>
          <w:color w:val="0000FF"/>
        </w:rPr>
        <w:t>d</w:t>
      </w:r>
      <w:r w:rsidRPr="004E520F">
        <w:rPr>
          <w:rFonts w:ascii="Arial" w:hAnsi="Arial" w:cs="Arial"/>
          <w:iCs/>
          <w:color w:val="0000FF"/>
        </w:rPr>
        <w:t xml:space="preserve">isciplinary approach to observation, experimentation, data management and modeling that often extends beyond the confines of SEP.  </w:t>
      </w:r>
      <w:r w:rsidR="00192201" w:rsidRPr="004E520F">
        <w:rPr>
          <w:rFonts w:ascii="ArialMT" w:hAnsi="ArialMT" w:cs="ArialMT"/>
          <w:color w:val="0000FF"/>
        </w:rPr>
        <w:t xml:space="preserve">These “forced” collaborations (i.e., required in virtually all cross-GEO or cross-NSF programs) </w:t>
      </w:r>
      <w:r w:rsidR="003732AD">
        <w:rPr>
          <w:rFonts w:ascii="ArialMT" w:hAnsi="ArialMT" w:cs="ArialMT"/>
          <w:color w:val="0000FF"/>
        </w:rPr>
        <w:t>have</w:t>
      </w:r>
      <w:r w:rsidR="00192201" w:rsidRPr="004E520F">
        <w:rPr>
          <w:rFonts w:ascii="ArialMT" w:hAnsi="ArialMT" w:cs="ArialMT"/>
          <w:color w:val="0000FF"/>
        </w:rPr>
        <w:t xml:space="preserve"> </w:t>
      </w:r>
      <w:r w:rsidR="007812DA" w:rsidRPr="004E520F">
        <w:rPr>
          <w:rFonts w:ascii="ArialMT" w:hAnsi="ArialMT" w:cs="ArialMT"/>
          <w:color w:val="0000FF"/>
        </w:rPr>
        <w:t>helped acclimate</w:t>
      </w:r>
      <w:r w:rsidR="00192201" w:rsidRPr="004E520F">
        <w:rPr>
          <w:rFonts w:ascii="ArialMT" w:hAnsi="ArialMT" w:cs="ArialMT"/>
          <w:color w:val="0000FF"/>
        </w:rPr>
        <w:t xml:space="preserve"> our PIs to </w:t>
      </w:r>
      <w:r w:rsidR="007812DA" w:rsidRPr="004E520F">
        <w:rPr>
          <w:rFonts w:ascii="ArialMT" w:hAnsi="ArialMT" w:cs="ArialMT"/>
          <w:color w:val="0000FF"/>
        </w:rPr>
        <w:t>collaborative</w:t>
      </w:r>
      <w:r w:rsidR="00192201" w:rsidRPr="004E520F">
        <w:rPr>
          <w:rFonts w:ascii="ArialMT" w:hAnsi="ArialMT" w:cs="ArialMT"/>
          <w:color w:val="0000FF"/>
        </w:rPr>
        <w:t xml:space="preserve"> partnerships that enhanced the community</w:t>
      </w:r>
      <w:r w:rsidR="007812DA" w:rsidRPr="004E520F">
        <w:rPr>
          <w:rFonts w:ascii="ArialMT" w:hAnsi="ArialMT" w:cs="ArialMT"/>
          <w:color w:val="0000FF"/>
        </w:rPr>
        <w:t xml:space="preserve">’s interdisciplinary reach.   </w:t>
      </w:r>
      <w:r w:rsidR="00192201" w:rsidRPr="004E520F">
        <w:rPr>
          <w:rFonts w:ascii="ArialMT" w:hAnsi="ArialMT" w:cs="ArialMT"/>
          <w:color w:val="0000FF"/>
        </w:rPr>
        <w:t>We understand that these cross-disciplinary partnerships can be</w:t>
      </w:r>
      <w:r w:rsidR="00192201" w:rsidRPr="00A0120C">
        <w:rPr>
          <w:rFonts w:ascii="ArialMT" w:hAnsi="ArialMT" w:cs="ArialMT"/>
          <w:color w:val="0000FF"/>
        </w:rPr>
        <w:t xml:space="preserve"> </w:t>
      </w:r>
      <w:r w:rsidR="00192201" w:rsidRPr="004E520F">
        <w:rPr>
          <w:rFonts w:ascii="ArialMT" w:hAnsi="ArialMT" w:cs="ArialMT"/>
          <w:color w:val="0000FF"/>
        </w:rPr>
        <w:t xml:space="preserve">quite </w:t>
      </w:r>
      <w:r w:rsidR="00192201" w:rsidRPr="004E520F">
        <w:rPr>
          <w:rFonts w:ascii="ArialMT" w:hAnsi="ArialMT" w:cs="ArialMT"/>
          <w:color w:val="0000FF"/>
        </w:rPr>
        <w:lastRenderedPageBreak/>
        <w:t xml:space="preserve">intimidating to new </w:t>
      </w:r>
      <w:r w:rsidR="007812DA" w:rsidRPr="004E520F">
        <w:rPr>
          <w:rFonts w:ascii="ArialMT" w:hAnsi="ArialMT" w:cs="ArialMT"/>
          <w:color w:val="0000FF"/>
        </w:rPr>
        <w:t xml:space="preserve">(and </w:t>
      </w:r>
      <w:r w:rsidR="00190048">
        <w:rPr>
          <w:rFonts w:ascii="ArialMT" w:hAnsi="ArialMT" w:cs="ArialMT"/>
          <w:color w:val="0000FF"/>
        </w:rPr>
        <w:t>seasoned</w:t>
      </w:r>
      <w:r w:rsidR="007812DA" w:rsidRPr="004E520F">
        <w:rPr>
          <w:rFonts w:ascii="ArialMT" w:hAnsi="ArialMT" w:cs="ArialMT"/>
          <w:color w:val="0000FF"/>
        </w:rPr>
        <w:t xml:space="preserve">) </w:t>
      </w:r>
      <w:r w:rsidR="00192201" w:rsidRPr="004E520F">
        <w:rPr>
          <w:rFonts w:ascii="ArialMT" w:hAnsi="ArialMT" w:cs="ArialMT"/>
          <w:color w:val="0000FF"/>
        </w:rPr>
        <w:t xml:space="preserve">researchers, </w:t>
      </w:r>
      <w:r w:rsidR="007812DA" w:rsidRPr="004E520F">
        <w:rPr>
          <w:rFonts w:ascii="ArialMT" w:hAnsi="ArialMT" w:cs="ArialMT"/>
          <w:color w:val="0000FF"/>
        </w:rPr>
        <w:t>and we organize workshops, town hall meetings and NSF visits that serve as catalysts for young investigators participation in interdisciplinary activities.  O</w:t>
      </w:r>
      <w:r w:rsidR="00192201" w:rsidRPr="004E520F">
        <w:rPr>
          <w:rFonts w:ascii="ArialMT" w:hAnsi="ArialMT" w:cs="ArialMT"/>
          <w:color w:val="0000FF"/>
        </w:rPr>
        <w:t xml:space="preserve">ur core programs have </w:t>
      </w:r>
      <w:r w:rsidR="007812DA" w:rsidRPr="004E520F">
        <w:rPr>
          <w:rFonts w:ascii="ArialMT" w:hAnsi="ArialMT" w:cs="ArialMT"/>
          <w:color w:val="0000FF"/>
        </w:rPr>
        <w:t>also paid particular attention to nurturing</w:t>
      </w:r>
      <w:r w:rsidR="00192201" w:rsidRPr="004E520F">
        <w:rPr>
          <w:rFonts w:ascii="ArialMT" w:hAnsi="ArialMT" w:cs="ArialMT"/>
          <w:color w:val="0000FF"/>
        </w:rPr>
        <w:t xml:space="preserve"> new investigators (Table 3).</w:t>
      </w:r>
    </w:p>
    <w:p w:rsidR="00151367" w:rsidRDefault="00151367" w:rsidP="00151367">
      <w:pPr>
        <w:spacing w:before="100" w:beforeAutospacing="1" w:after="100" w:afterAutospacing="1" w:line="276" w:lineRule="auto"/>
        <w:jc w:val="center"/>
        <w:rPr>
          <w:rFonts w:ascii="ArialMT" w:hAnsi="ArialMT" w:cs="ArialMT"/>
        </w:rPr>
      </w:pPr>
      <w:r>
        <w:rPr>
          <w:rFonts w:ascii="ArialMT" w:hAnsi="ArialMT" w:cs="ArialMT"/>
        </w:rPr>
        <w:t>Table 3: Success rate percentages for overall versus New Investigator awards.</w:t>
      </w:r>
    </w:p>
    <w:tbl>
      <w:tblPr>
        <w:tblW w:w="5620" w:type="dxa"/>
        <w:jc w:val="center"/>
        <w:tblInd w:w="93" w:type="dxa"/>
        <w:tblLook w:val="04A0"/>
      </w:tblPr>
      <w:tblGrid>
        <w:gridCol w:w="960"/>
        <w:gridCol w:w="1180"/>
        <w:gridCol w:w="1560"/>
        <w:gridCol w:w="960"/>
        <w:gridCol w:w="960"/>
      </w:tblGrid>
      <w:tr w:rsidR="00151367" w:rsidRPr="008A1EF7">
        <w:trPr>
          <w:trHeight w:val="315"/>
          <w:jc w:val="center"/>
        </w:trPr>
        <w:tc>
          <w:tcPr>
            <w:tcW w:w="960" w:type="dxa"/>
            <w:tcBorders>
              <w:top w:val="single" w:sz="4" w:space="0" w:color="auto"/>
              <w:left w:val="nil"/>
              <w:bottom w:val="single" w:sz="4" w:space="0" w:color="auto"/>
              <w:right w:val="nil"/>
            </w:tcBorders>
            <w:shd w:val="clear" w:color="auto" w:fill="auto"/>
            <w:noWrap/>
            <w:vAlign w:val="bottom"/>
          </w:tcPr>
          <w:p w:rsidR="00151367" w:rsidRPr="006075F3" w:rsidRDefault="00151367" w:rsidP="00F85C51">
            <w:pPr>
              <w:spacing w:before="100" w:beforeAutospacing="1" w:after="100" w:afterAutospacing="1" w:line="276" w:lineRule="auto"/>
              <w:rPr>
                <w:rFonts w:ascii="ArialMT" w:hAnsi="ArialMT" w:cs="ArialMT"/>
                <w:szCs w:val="22"/>
              </w:rPr>
            </w:pPr>
            <w:r w:rsidRPr="006075F3">
              <w:rPr>
                <w:rFonts w:ascii="ArialMT" w:hAnsi="ArialMT" w:cs="ArialMT"/>
                <w:szCs w:val="22"/>
              </w:rPr>
              <w:t> </w:t>
            </w:r>
          </w:p>
        </w:tc>
        <w:tc>
          <w:tcPr>
            <w:tcW w:w="1180" w:type="dxa"/>
            <w:tcBorders>
              <w:top w:val="single" w:sz="4" w:space="0" w:color="auto"/>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rPr>
                <w:rFonts w:ascii="ArialMT" w:hAnsi="ArialMT" w:cs="ArialMT"/>
                <w:szCs w:val="22"/>
              </w:rPr>
            </w:pPr>
            <w:r w:rsidRPr="006075F3">
              <w:rPr>
                <w:rFonts w:ascii="ArialMT" w:hAnsi="ArialMT" w:cs="ArialMT"/>
                <w:szCs w:val="22"/>
              </w:rPr>
              <w:t> </w:t>
            </w:r>
          </w:p>
        </w:tc>
        <w:tc>
          <w:tcPr>
            <w:tcW w:w="1560" w:type="dxa"/>
            <w:tcBorders>
              <w:top w:val="single" w:sz="4" w:space="0" w:color="auto"/>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2008</w:t>
            </w:r>
          </w:p>
        </w:tc>
        <w:tc>
          <w:tcPr>
            <w:tcW w:w="960" w:type="dxa"/>
            <w:tcBorders>
              <w:top w:val="single" w:sz="4" w:space="0" w:color="auto"/>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2009</w:t>
            </w:r>
          </w:p>
        </w:tc>
        <w:tc>
          <w:tcPr>
            <w:tcW w:w="960" w:type="dxa"/>
            <w:tcBorders>
              <w:top w:val="single" w:sz="4" w:space="0" w:color="auto"/>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2010</w:t>
            </w:r>
          </w:p>
        </w:tc>
      </w:tr>
      <w:tr w:rsidR="00151367" w:rsidRPr="008A1EF7">
        <w:trPr>
          <w:trHeight w:val="300"/>
          <w:jc w:val="center"/>
        </w:trPr>
        <w:tc>
          <w:tcPr>
            <w:tcW w:w="960" w:type="dxa"/>
            <w:vMerge w:val="restart"/>
            <w:tcBorders>
              <w:top w:val="nil"/>
              <w:left w:val="nil"/>
              <w:bottom w:val="single" w:sz="4" w:space="0" w:color="000000"/>
              <w:right w:val="nil"/>
            </w:tcBorders>
            <w:shd w:val="clear" w:color="auto" w:fill="auto"/>
            <w:noWrap/>
            <w:vAlign w:val="bottom"/>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GG</w:t>
            </w:r>
          </w:p>
        </w:tc>
        <w:tc>
          <w:tcPr>
            <w:tcW w:w="118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rPr>
                <w:rFonts w:ascii="ArialMT" w:hAnsi="ArialMT" w:cs="ArialMT"/>
                <w:szCs w:val="22"/>
              </w:rPr>
            </w:pPr>
            <w:r w:rsidRPr="006075F3">
              <w:rPr>
                <w:rFonts w:ascii="ArialMT" w:hAnsi="ArialMT" w:cs="ArialMT"/>
                <w:szCs w:val="22"/>
              </w:rPr>
              <w:t>Total</w:t>
            </w:r>
          </w:p>
        </w:tc>
        <w:tc>
          <w:tcPr>
            <w:tcW w:w="15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20</w:t>
            </w:r>
          </w:p>
        </w:tc>
        <w:tc>
          <w:tcPr>
            <w:tcW w:w="9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37</w:t>
            </w:r>
          </w:p>
        </w:tc>
        <w:tc>
          <w:tcPr>
            <w:tcW w:w="9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27</w:t>
            </w:r>
          </w:p>
        </w:tc>
      </w:tr>
      <w:tr w:rsidR="00151367" w:rsidRPr="008A1EF7">
        <w:trPr>
          <w:trHeight w:val="300"/>
          <w:jc w:val="center"/>
        </w:trPr>
        <w:tc>
          <w:tcPr>
            <w:tcW w:w="960" w:type="dxa"/>
            <w:vMerge/>
            <w:tcBorders>
              <w:top w:val="nil"/>
              <w:left w:val="nil"/>
              <w:bottom w:val="single" w:sz="4" w:space="0" w:color="000000"/>
              <w:right w:val="nil"/>
            </w:tcBorders>
            <w:vAlign w:val="center"/>
          </w:tcPr>
          <w:p w:rsidR="00151367" w:rsidRPr="006075F3" w:rsidRDefault="00151367" w:rsidP="00F85C51">
            <w:pPr>
              <w:spacing w:before="100" w:beforeAutospacing="1" w:after="100" w:afterAutospacing="1" w:line="276" w:lineRule="auto"/>
              <w:rPr>
                <w:rFonts w:ascii="ArialMT" w:hAnsi="ArialMT" w:cs="ArialMT"/>
                <w:szCs w:val="22"/>
              </w:rPr>
            </w:pPr>
          </w:p>
        </w:tc>
        <w:tc>
          <w:tcPr>
            <w:tcW w:w="118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rPr>
                <w:rFonts w:ascii="ArialMT" w:hAnsi="ArialMT" w:cs="ArialMT"/>
                <w:szCs w:val="22"/>
              </w:rPr>
            </w:pPr>
            <w:r w:rsidRPr="006075F3">
              <w:rPr>
                <w:rFonts w:ascii="ArialMT" w:hAnsi="ArialMT" w:cs="ArialMT"/>
                <w:szCs w:val="22"/>
              </w:rPr>
              <w:t>New PI</w:t>
            </w:r>
          </w:p>
        </w:tc>
        <w:tc>
          <w:tcPr>
            <w:tcW w:w="156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23</w:t>
            </w:r>
          </w:p>
        </w:tc>
        <w:tc>
          <w:tcPr>
            <w:tcW w:w="96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42</w:t>
            </w:r>
          </w:p>
        </w:tc>
        <w:tc>
          <w:tcPr>
            <w:tcW w:w="96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25</w:t>
            </w:r>
          </w:p>
        </w:tc>
      </w:tr>
      <w:tr w:rsidR="00151367" w:rsidRPr="008A1EF7">
        <w:trPr>
          <w:trHeight w:val="300"/>
          <w:jc w:val="center"/>
        </w:trPr>
        <w:tc>
          <w:tcPr>
            <w:tcW w:w="960" w:type="dxa"/>
            <w:vMerge w:val="restart"/>
            <w:tcBorders>
              <w:top w:val="nil"/>
              <w:left w:val="nil"/>
              <w:bottom w:val="nil"/>
              <w:right w:val="nil"/>
            </w:tcBorders>
            <w:shd w:val="clear" w:color="auto" w:fill="auto"/>
            <w:noWrap/>
            <w:vAlign w:val="bottom"/>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GLD</w:t>
            </w:r>
          </w:p>
        </w:tc>
        <w:tc>
          <w:tcPr>
            <w:tcW w:w="118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rPr>
                <w:rFonts w:ascii="ArialMT" w:hAnsi="ArialMT" w:cs="ArialMT"/>
                <w:szCs w:val="22"/>
              </w:rPr>
            </w:pPr>
            <w:r w:rsidRPr="006075F3">
              <w:rPr>
                <w:rFonts w:ascii="ArialMT" w:hAnsi="ArialMT" w:cs="ArialMT"/>
                <w:szCs w:val="22"/>
              </w:rPr>
              <w:t>Total</w:t>
            </w:r>
          </w:p>
        </w:tc>
        <w:tc>
          <w:tcPr>
            <w:tcW w:w="15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13</w:t>
            </w:r>
          </w:p>
        </w:tc>
        <w:tc>
          <w:tcPr>
            <w:tcW w:w="9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32</w:t>
            </w:r>
          </w:p>
        </w:tc>
        <w:tc>
          <w:tcPr>
            <w:tcW w:w="9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24</w:t>
            </w:r>
          </w:p>
        </w:tc>
      </w:tr>
      <w:tr w:rsidR="00151367" w:rsidRPr="008A1EF7">
        <w:trPr>
          <w:trHeight w:val="300"/>
          <w:jc w:val="center"/>
        </w:trPr>
        <w:tc>
          <w:tcPr>
            <w:tcW w:w="960" w:type="dxa"/>
            <w:vMerge/>
            <w:tcBorders>
              <w:top w:val="nil"/>
              <w:left w:val="nil"/>
              <w:bottom w:val="nil"/>
              <w:right w:val="nil"/>
            </w:tcBorders>
            <w:vAlign w:val="center"/>
          </w:tcPr>
          <w:p w:rsidR="00151367" w:rsidRPr="006075F3" w:rsidRDefault="00151367" w:rsidP="00F85C51">
            <w:pPr>
              <w:spacing w:before="100" w:beforeAutospacing="1" w:after="100" w:afterAutospacing="1" w:line="276" w:lineRule="auto"/>
              <w:rPr>
                <w:rFonts w:ascii="ArialMT" w:hAnsi="ArialMT" w:cs="ArialMT"/>
                <w:szCs w:val="22"/>
              </w:rPr>
            </w:pPr>
          </w:p>
        </w:tc>
        <w:tc>
          <w:tcPr>
            <w:tcW w:w="118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rPr>
                <w:rFonts w:ascii="ArialMT" w:hAnsi="ArialMT" w:cs="ArialMT"/>
                <w:szCs w:val="22"/>
              </w:rPr>
            </w:pPr>
            <w:r w:rsidRPr="006075F3">
              <w:rPr>
                <w:rFonts w:ascii="ArialMT" w:hAnsi="ArialMT" w:cs="ArialMT"/>
                <w:szCs w:val="22"/>
              </w:rPr>
              <w:t>New PI</w:t>
            </w:r>
          </w:p>
        </w:tc>
        <w:tc>
          <w:tcPr>
            <w:tcW w:w="156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14</w:t>
            </w:r>
          </w:p>
        </w:tc>
        <w:tc>
          <w:tcPr>
            <w:tcW w:w="96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22</w:t>
            </w:r>
          </w:p>
        </w:tc>
        <w:tc>
          <w:tcPr>
            <w:tcW w:w="96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20</w:t>
            </w:r>
          </w:p>
        </w:tc>
      </w:tr>
      <w:tr w:rsidR="00151367" w:rsidRPr="008A1EF7">
        <w:trPr>
          <w:trHeight w:val="300"/>
          <w:jc w:val="center"/>
        </w:trPr>
        <w:tc>
          <w:tcPr>
            <w:tcW w:w="960" w:type="dxa"/>
            <w:vMerge w:val="restart"/>
            <w:tcBorders>
              <w:top w:val="single" w:sz="4" w:space="0" w:color="auto"/>
              <w:left w:val="nil"/>
              <w:bottom w:val="single" w:sz="4" w:space="0" w:color="000000"/>
              <w:right w:val="nil"/>
            </w:tcBorders>
            <w:shd w:val="clear" w:color="auto" w:fill="auto"/>
            <w:noWrap/>
            <w:vAlign w:val="bottom"/>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HS</w:t>
            </w:r>
          </w:p>
        </w:tc>
        <w:tc>
          <w:tcPr>
            <w:tcW w:w="118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rPr>
                <w:rFonts w:ascii="ArialMT" w:hAnsi="ArialMT" w:cs="ArialMT"/>
                <w:szCs w:val="22"/>
              </w:rPr>
            </w:pPr>
            <w:r w:rsidRPr="006075F3">
              <w:rPr>
                <w:rFonts w:ascii="ArialMT" w:hAnsi="ArialMT" w:cs="ArialMT"/>
                <w:szCs w:val="22"/>
              </w:rPr>
              <w:t>Total</w:t>
            </w:r>
          </w:p>
        </w:tc>
        <w:tc>
          <w:tcPr>
            <w:tcW w:w="15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26</w:t>
            </w:r>
          </w:p>
        </w:tc>
        <w:tc>
          <w:tcPr>
            <w:tcW w:w="9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39</w:t>
            </w:r>
          </w:p>
        </w:tc>
        <w:tc>
          <w:tcPr>
            <w:tcW w:w="9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14</w:t>
            </w:r>
          </w:p>
        </w:tc>
      </w:tr>
      <w:tr w:rsidR="00151367" w:rsidRPr="008A1EF7">
        <w:trPr>
          <w:trHeight w:val="300"/>
          <w:jc w:val="center"/>
        </w:trPr>
        <w:tc>
          <w:tcPr>
            <w:tcW w:w="960" w:type="dxa"/>
            <w:vMerge/>
            <w:tcBorders>
              <w:top w:val="single" w:sz="4" w:space="0" w:color="auto"/>
              <w:left w:val="nil"/>
              <w:bottom w:val="single" w:sz="4" w:space="0" w:color="000000"/>
              <w:right w:val="nil"/>
            </w:tcBorders>
            <w:vAlign w:val="center"/>
          </w:tcPr>
          <w:p w:rsidR="00151367" w:rsidRPr="006075F3" w:rsidRDefault="00151367" w:rsidP="00F85C51">
            <w:pPr>
              <w:spacing w:before="100" w:beforeAutospacing="1" w:after="100" w:afterAutospacing="1" w:line="276" w:lineRule="auto"/>
              <w:rPr>
                <w:rFonts w:ascii="ArialMT" w:hAnsi="ArialMT" w:cs="ArialMT"/>
                <w:szCs w:val="22"/>
              </w:rPr>
            </w:pPr>
          </w:p>
        </w:tc>
        <w:tc>
          <w:tcPr>
            <w:tcW w:w="118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rPr>
                <w:rFonts w:ascii="ArialMT" w:hAnsi="ArialMT" w:cs="ArialMT"/>
                <w:szCs w:val="22"/>
              </w:rPr>
            </w:pPr>
            <w:r w:rsidRPr="006075F3">
              <w:rPr>
                <w:rFonts w:ascii="ArialMT" w:hAnsi="ArialMT" w:cs="ArialMT"/>
                <w:szCs w:val="22"/>
              </w:rPr>
              <w:t>New PI</w:t>
            </w:r>
          </w:p>
        </w:tc>
        <w:tc>
          <w:tcPr>
            <w:tcW w:w="156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16</w:t>
            </w:r>
          </w:p>
        </w:tc>
        <w:tc>
          <w:tcPr>
            <w:tcW w:w="96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32</w:t>
            </w:r>
          </w:p>
        </w:tc>
        <w:tc>
          <w:tcPr>
            <w:tcW w:w="96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10</w:t>
            </w:r>
          </w:p>
        </w:tc>
      </w:tr>
      <w:tr w:rsidR="00151367" w:rsidRPr="008A1EF7">
        <w:trPr>
          <w:trHeight w:val="300"/>
          <w:jc w:val="center"/>
        </w:trPr>
        <w:tc>
          <w:tcPr>
            <w:tcW w:w="960" w:type="dxa"/>
            <w:vMerge w:val="restart"/>
            <w:tcBorders>
              <w:top w:val="nil"/>
              <w:left w:val="nil"/>
              <w:bottom w:val="single" w:sz="4" w:space="0" w:color="000000"/>
              <w:right w:val="nil"/>
            </w:tcBorders>
            <w:shd w:val="clear" w:color="auto" w:fill="auto"/>
            <w:noWrap/>
            <w:vAlign w:val="bottom"/>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SGP</w:t>
            </w:r>
          </w:p>
        </w:tc>
        <w:tc>
          <w:tcPr>
            <w:tcW w:w="118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rPr>
                <w:rFonts w:ascii="ArialMT" w:hAnsi="ArialMT" w:cs="ArialMT"/>
                <w:szCs w:val="22"/>
              </w:rPr>
            </w:pPr>
            <w:r w:rsidRPr="006075F3">
              <w:rPr>
                <w:rFonts w:ascii="ArialMT" w:hAnsi="ArialMT" w:cs="ArialMT"/>
                <w:szCs w:val="22"/>
              </w:rPr>
              <w:t>Total</w:t>
            </w:r>
          </w:p>
        </w:tc>
        <w:tc>
          <w:tcPr>
            <w:tcW w:w="15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23</w:t>
            </w:r>
          </w:p>
        </w:tc>
        <w:tc>
          <w:tcPr>
            <w:tcW w:w="9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31</w:t>
            </w:r>
          </w:p>
        </w:tc>
        <w:tc>
          <w:tcPr>
            <w:tcW w:w="960" w:type="dxa"/>
            <w:tcBorders>
              <w:top w:val="nil"/>
              <w:left w:val="nil"/>
              <w:bottom w:val="nil"/>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21</w:t>
            </w:r>
          </w:p>
        </w:tc>
      </w:tr>
      <w:tr w:rsidR="00151367" w:rsidRPr="008A1EF7">
        <w:trPr>
          <w:trHeight w:val="300"/>
          <w:jc w:val="center"/>
        </w:trPr>
        <w:tc>
          <w:tcPr>
            <w:tcW w:w="960" w:type="dxa"/>
            <w:vMerge/>
            <w:tcBorders>
              <w:top w:val="nil"/>
              <w:left w:val="nil"/>
              <w:bottom w:val="single" w:sz="4" w:space="0" w:color="000000"/>
              <w:right w:val="nil"/>
            </w:tcBorders>
            <w:vAlign w:val="center"/>
          </w:tcPr>
          <w:p w:rsidR="00151367" w:rsidRPr="006075F3" w:rsidRDefault="00151367" w:rsidP="00F85C51">
            <w:pPr>
              <w:spacing w:before="100" w:beforeAutospacing="1" w:after="100" w:afterAutospacing="1" w:line="276" w:lineRule="auto"/>
              <w:rPr>
                <w:rFonts w:ascii="ArialMT" w:hAnsi="ArialMT" w:cs="ArialMT"/>
                <w:szCs w:val="22"/>
              </w:rPr>
            </w:pPr>
          </w:p>
        </w:tc>
        <w:tc>
          <w:tcPr>
            <w:tcW w:w="118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rPr>
                <w:rFonts w:ascii="ArialMT" w:hAnsi="ArialMT" w:cs="ArialMT"/>
                <w:szCs w:val="22"/>
              </w:rPr>
            </w:pPr>
            <w:r w:rsidRPr="006075F3">
              <w:rPr>
                <w:rFonts w:ascii="ArialMT" w:hAnsi="ArialMT" w:cs="ArialMT"/>
                <w:szCs w:val="22"/>
              </w:rPr>
              <w:t>New PI</w:t>
            </w:r>
          </w:p>
        </w:tc>
        <w:tc>
          <w:tcPr>
            <w:tcW w:w="156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16</w:t>
            </w:r>
          </w:p>
        </w:tc>
        <w:tc>
          <w:tcPr>
            <w:tcW w:w="960" w:type="dxa"/>
            <w:tcBorders>
              <w:top w:val="nil"/>
              <w:left w:val="nil"/>
              <w:bottom w:val="single" w:sz="4" w:space="0" w:color="auto"/>
              <w:right w:val="nil"/>
            </w:tcBorders>
            <w:shd w:val="clear" w:color="000000" w:fill="FFFFFF"/>
            <w:vAlign w:val="center"/>
          </w:tcPr>
          <w:p w:rsidR="00151367" w:rsidRPr="006075F3" w:rsidRDefault="00151367" w:rsidP="00F85C51">
            <w:pPr>
              <w:spacing w:before="100" w:beforeAutospacing="1" w:after="100" w:afterAutospacing="1" w:line="276" w:lineRule="auto"/>
              <w:jc w:val="center"/>
              <w:rPr>
                <w:rFonts w:ascii="ArialMT" w:hAnsi="ArialMT" w:cs="ArialMT"/>
                <w:szCs w:val="22"/>
              </w:rPr>
            </w:pPr>
            <w:r w:rsidRPr="006075F3">
              <w:rPr>
                <w:rFonts w:ascii="ArialMT" w:hAnsi="ArialMT" w:cs="ArialMT"/>
                <w:szCs w:val="22"/>
              </w:rPr>
              <w:t>27</w:t>
            </w:r>
          </w:p>
        </w:tc>
        <w:tc>
          <w:tcPr>
            <w:tcW w:w="960" w:type="dxa"/>
            <w:tcBorders>
              <w:top w:val="nil"/>
              <w:left w:val="nil"/>
              <w:bottom w:val="single" w:sz="4" w:space="0" w:color="auto"/>
              <w:right w:val="nil"/>
            </w:tcBorders>
            <w:shd w:val="clear" w:color="000000" w:fill="FFFFFF"/>
            <w:vAlign w:val="center"/>
          </w:tcPr>
          <w:p w:rsidR="00151367" w:rsidRPr="003732AD" w:rsidRDefault="00151367" w:rsidP="00F85C51">
            <w:pPr>
              <w:spacing w:before="100" w:beforeAutospacing="1" w:after="100" w:afterAutospacing="1" w:line="276" w:lineRule="auto"/>
              <w:jc w:val="center"/>
              <w:rPr>
                <w:rFonts w:ascii="ArialMT" w:hAnsi="ArialMT" w:cs="ArialMT"/>
                <w:color w:val="000000" w:themeColor="text1"/>
                <w:szCs w:val="22"/>
              </w:rPr>
            </w:pPr>
            <w:r w:rsidRPr="003732AD">
              <w:rPr>
                <w:rFonts w:ascii="ArialMT" w:hAnsi="ArialMT" w:cs="ArialMT"/>
                <w:color w:val="000000" w:themeColor="text1"/>
                <w:szCs w:val="22"/>
              </w:rPr>
              <w:t>8</w:t>
            </w:r>
          </w:p>
        </w:tc>
      </w:tr>
    </w:tbl>
    <w:p w:rsidR="0056329C" w:rsidRPr="004E520F" w:rsidRDefault="0056329C" w:rsidP="0056329C">
      <w:pPr>
        <w:spacing w:before="100" w:beforeAutospacing="1" w:after="100" w:afterAutospacing="1" w:line="276" w:lineRule="auto"/>
        <w:rPr>
          <w:rFonts w:ascii="ArialMT" w:hAnsi="ArialMT" w:cs="ArialMT"/>
          <w:color w:val="0000FF"/>
        </w:rPr>
      </w:pPr>
      <w:r w:rsidRPr="004E520F">
        <w:rPr>
          <w:rFonts w:ascii="ArialMT" w:hAnsi="ArialMT" w:cs="ArialMT"/>
          <w:color w:val="0000FF"/>
        </w:rPr>
        <w:t xml:space="preserve">Portfolio imbalance must be </w:t>
      </w:r>
      <w:r w:rsidR="003732AD">
        <w:rPr>
          <w:rFonts w:ascii="ArialMT" w:hAnsi="ArialMT" w:cs="ArialMT"/>
          <w:color w:val="0000FF"/>
        </w:rPr>
        <w:t>examined integratively</w:t>
      </w:r>
      <w:r w:rsidRPr="004E520F">
        <w:rPr>
          <w:rFonts w:ascii="ArialMT" w:hAnsi="ArialMT" w:cs="ArialMT"/>
          <w:color w:val="0000FF"/>
        </w:rPr>
        <w:t xml:space="preserve"> over long periods of time, and we believe that it is unwarranted to ascribe an imbalance in the SGP portfolio for one competition to decisions made by a rotating </w:t>
      </w:r>
      <w:r w:rsidR="00AD110A">
        <w:rPr>
          <w:rFonts w:ascii="ArialMT" w:hAnsi="ArialMT" w:cs="ArialMT"/>
          <w:color w:val="0000FF"/>
        </w:rPr>
        <w:t>Program Officer</w:t>
      </w:r>
      <w:r w:rsidRPr="004E520F">
        <w:rPr>
          <w:rFonts w:ascii="ArialMT" w:hAnsi="ArialMT" w:cs="ArialMT"/>
          <w:color w:val="0000FF"/>
        </w:rPr>
        <w:t xml:space="preserve">.  Rotating </w:t>
      </w:r>
      <w:r w:rsidR="00AD110A">
        <w:rPr>
          <w:rFonts w:ascii="ArialMT" w:hAnsi="ArialMT" w:cs="ArialMT"/>
          <w:color w:val="0000FF"/>
        </w:rPr>
        <w:t>Program Officer</w:t>
      </w:r>
      <w:r w:rsidR="007C618F">
        <w:rPr>
          <w:rFonts w:ascii="ArialMT" w:hAnsi="ArialMT" w:cs="ArialMT"/>
          <w:color w:val="0000FF"/>
        </w:rPr>
        <w:t>s</w:t>
      </w:r>
      <w:r w:rsidRPr="004E520F">
        <w:rPr>
          <w:rFonts w:ascii="ArialMT" w:hAnsi="ArialMT" w:cs="ArialMT"/>
          <w:color w:val="0000FF"/>
        </w:rPr>
        <w:t xml:space="preserve"> serve the science community to the best of their abilities, and NSF is thankful for their service.  Any thematic imbalance noted by the COV in SGP’s portfolio will be monitored closely by the permanent PO, who takes full responsibility for managing </w:t>
      </w:r>
      <w:r w:rsidR="003732AD">
        <w:rPr>
          <w:rFonts w:ascii="ArialMT" w:hAnsi="ArialMT" w:cs="ArialMT"/>
          <w:color w:val="0000FF"/>
        </w:rPr>
        <w:t xml:space="preserve">long term </w:t>
      </w:r>
      <w:r w:rsidRPr="004E520F">
        <w:rPr>
          <w:rFonts w:ascii="ArialMT" w:hAnsi="ArialMT" w:cs="ArialMT"/>
          <w:color w:val="0000FF"/>
        </w:rPr>
        <w:t xml:space="preserve">portfolio balance.  </w:t>
      </w:r>
    </w:p>
    <w:p w:rsidR="00151367" w:rsidRPr="004E520F" w:rsidRDefault="00CD3F22" w:rsidP="0056329C">
      <w:pPr>
        <w:spacing w:before="100" w:beforeAutospacing="1" w:after="100" w:afterAutospacing="1" w:line="276" w:lineRule="auto"/>
        <w:rPr>
          <w:rFonts w:ascii="ArialMT" w:hAnsi="ArialMT" w:cs="ArialMT"/>
          <w:color w:val="0000FF"/>
        </w:rPr>
      </w:pPr>
      <w:r w:rsidRPr="004E520F">
        <w:rPr>
          <w:rFonts w:ascii="ArialMT" w:hAnsi="ArialMT" w:cs="ArialMT"/>
          <w:color w:val="0000FF"/>
        </w:rPr>
        <w:t>All our programs are strongly committed to the integration of research and education, and we appreciate the COV’s vote of confidence.  SEP will continue to i</w:t>
      </w:r>
      <w:r w:rsidR="00F85C51" w:rsidRPr="004E520F">
        <w:rPr>
          <w:rFonts w:ascii="ArialMT" w:hAnsi="ArialMT" w:cs="ArialMT"/>
          <w:color w:val="0000FF"/>
        </w:rPr>
        <w:t>nclude under-represented minorities and scientists/faculty from minority-serving institutions to participate in panels, and seek their guidance on how best to increase minority participation.</w:t>
      </w:r>
      <w:r w:rsidRPr="004E520F">
        <w:rPr>
          <w:rFonts w:ascii="ArialMT" w:hAnsi="ArialMT" w:cs="ArialMT"/>
          <w:color w:val="0000FF"/>
        </w:rPr>
        <w:t xml:space="preserve">  PO decisions rest primarily on the </w:t>
      </w:r>
      <w:r w:rsidR="00E15D0E" w:rsidRPr="004E520F">
        <w:rPr>
          <w:rFonts w:ascii="ArialMT" w:hAnsi="ArialMT" w:cs="ArialMT"/>
          <w:color w:val="0000FF"/>
        </w:rPr>
        <w:t>intellectual merit</w:t>
      </w:r>
      <w:r w:rsidRPr="004E520F">
        <w:rPr>
          <w:rFonts w:ascii="ArialMT" w:hAnsi="ArialMT" w:cs="ArialMT"/>
          <w:color w:val="0000FF"/>
        </w:rPr>
        <w:t xml:space="preserve"> and </w:t>
      </w:r>
      <w:r w:rsidR="00AB1AE7" w:rsidRPr="004E520F">
        <w:rPr>
          <w:rFonts w:ascii="ArialMT" w:hAnsi="ArialMT" w:cs="ArialMT"/>
          <w:color w:val="0000FF"/>
        </w:rPr>
        <w:t>b</w:t>
      </w:r>
      <w:r w:rsidR="00E15D0E" w:rsidRPr="004E520F">
        <w:rPr>
          <w:rFonts w:ascii="ArialMT" w:hAnsi="ArialMT" w:cs="ArialMT"/>
          <w:color w:val="0000FF"/>
        </w:rPr>
        <w:t>roader impact</w:t>
      </w:r>
      <w:r w:rsidRPr="004E520F">
        <w:rPr>
          <w:rFonts w:ascii="ArialMT" w:hAnsi="ArialMT" w:cs="ArialMT"/>
          <w:color w:val="0000FF"/>
        </w:rPr>
        <w:t xml:space="preserve"> review criteria, but d</w:t>
      </w:r>
      <w:r w:rsidR="00F85C51" w:rsidRPr="004E520F">
        <w:rPr>
          <w:rFonts w:ascii="ArialMT" w:hAnsi="ArialMT" w:cs="ArialMT"/>
          <w:color w:val="0000FF"/>
        </w:rPr>
        <w:t xml:space="preserve">iversity is a </w:t>
      </w:r>
      <w:r w:rsidRPr="004E520F">
        <w:rPr>
          <w:rFonts w:ascii="ArialMT" w:hAnsi="ArialMT" w:cs="ArialMT"/>
          <w:color w:val="0000FF"/>
        </w:rPr>
        <w:t>consistent p</w:t>
      </w:r>
      <w:r w:rsidR="00F85C51" w:rsidRPr="004E520F">
        <w:rPr>
          <w:rFonts w:ascii="ArialMT" w:hAnsi="ArialMT" w:cs="ArialMT"/>
          <w:color w:val="0000FF"/>
        </w:rPr>
        <w:t xml:space="preserve">rogrammatic consideration in PO decisions on awards. </w:t>
      </w:r>
      <w:r w:rsidRPr="004E520F">
        <w:rPr>
          <w:rFonts w:ascii="ArialMT" w:hAnsi="ArialMT" w:cs="ArialMT"/>
          <w:color w:val="0000FF"/>
        </w:rPr>
        <w:t xml:space="preserve"> We nevertheless agree </w:t>
      </w:r>
      <w:r w:rsidR="00AB1AE7" w:rsidRPr="004E520F">
        <w:rPr>
          <w:rFonts w:ascii="ArialMT" w:hAnsi="ArialMT" w:cs="ArialMT"/>
          <w:color w:val="0000FF"/>
        </w:rPr>
        <w:t xml:space="preserve">with the COV </w:t>
      </w:r>
      <w:r w:rsidRPr="004E520F">
        <w:rPr>
          <w:rFonts w:ascii="ArialMT" w:hAnsi="ArialMT" w:cs="ArialMT"/>
          <w:color w:val="0000FF"/>
        </w:rPr>
        <w:t>that</w:t>
      </w:r>
      <w:r w:rsidR="00AB1AE7" w:rsidRPr="004E520F">
        <w:rPr>
          <w:rFonts w:ascii="ArialMT" w:hAnsi="ArialMT" w:cs="ArialMT"/>
          <w:color w:val="0000FF"/>
        </w:rPr>
        <w:t xml:space="preserve"> more work remains to be done, and we described examples of approaches that we will use in enhancing the participation of under-represen</w:t>
      </w:r>
      <w:r w:rsidR="00137143">
        <w:rPr>
          <w:rFonts w:ascii="ArialMT" w:hAnsi="ArialMT" w:cs="ArialMT"/>
          <w:color w:val="0000FF"/>
        </w:rPr>
        <w:t>ted minorities in SEP Programs (</w:t>
      </w:r>
      <w:r w:rsidR="00AB1AE7" w:rsidRPr="004E520F">
        <w:rPr>
          <w:rFonts w:ascii="ArialMT" w:hAnsi="ArialMT" w:cs="ArialMT"/>
          <w:color w:val="0000FF"/>
        </w:rPr>
        <w:t xml:space="preserve">e.g., </w:t>
      </w:r>
      <w:r w:rsidRPr="004E520F">
        <w:rPr>
          <w:rFonts w:ascii="ArialMT" w:hAnsi="ArialMT" w:cs="ArialMT"/>
          <w:color w:val="0000FF"/>
        </w:rPr>
        <w:t>item 11 in the Broad Section-Wide Issues</w:t>
      </w:r>
      <w:r w:rsidR="00137143">
        <w:rPr>
          <w:rFonts w:ascii="ArialMT" w:hAnsi="ArialMT" w:cs="ArialMT"/>
          <w:color w:val="0000FF"/>
        </w:rPr>
        <w:t>)</w:t>
      </w:r>
      <w:r w:rsidRPr="004E520F">
        <w:rPr>
          <w:rFonts w:ascii="ArialMT" w:hAnsi="ArialMT" w:cs="ArialMT"/>
          <w:color w:val="0000FF"/>
        </w:rPr>
        <w:t>.</w:t>
      </w:r>
    </w:p>
    <w:p w:rsidR="00DC563B" w:rsidRPr="004E520F" w:rsidRDefault="008A44E4" w:rsidP="00DC563B">
      <w:pPr>
        <w:spacing w:before="100" w:beforeAutospacing="1" w:after="100" w:afterAutospacing="1" w:line="276" w:lineRule="auto"/>
        <w:rPr>
          <w:rFonts w:ascii="ArialMT" w:hAnsi="ArialMT" w:cs="ArialMT"/>
          <w:color w:val="0000FF"/>
        </w:rPr>
      </w:pPr>
      <w:r>
        <w:rPr>
          <w:rFonts w:ascii="ArialMT" w:hAnsi="ArialMT" w:cs="ArialMT"/>
          <w:color w:val="0000FF"/>
        </w:rPr>
        <w:t>We</w:t>
      </w:r>
      <w:r w:rsidR="00DC563B" w:rsidRPr="004E520F">
        <w:rPr>
          <w:rFonts w:ascii="ArialMT" w:hAnsi="ArialMT" w:cs="ArialMT"/>
          <w:color w:val="0000FF"/>
        </w:rPr>
        <w:t xml:space="preserve"> </w:t>
      </w:r>
      <w:r w:rsidR="00137143">
        <w:rPr>
          <w:rFonts w:ascii="ArialMT" w:hAnsi="ArialMT" w:cs="ArialMT"/>
          <w:color w:val="0000FF"/>
        </w:rPr>
        <w:t xml:space="preserve">have </w:t>
      </w:r>
      <w:r w:rsidR="00DC563B" w:rsidRPr="004E520F">
        <w:rPr>
          <w:rFonts w:ascii="ArialMT" w:hAnsi="ArialMT" w:cs="ArialMT"/>
          <w:color w:val="0000FF"/>
        </w:rPr>
        <w:t>a long way to go to provide adequately for the major infras</w:t>
      </w:r>
      <w:r w:rsidR="00137143">
        <w:rPr>
          <w:rFonts w:ascii="ArialMT" w:hAnsi="ArialMT" w:cs="ArialMT"/>
          <w:color w:val="0000FF"/>
        </w:rPr>
        <w:t>tructure needs of the community</w:t>
      </w:r>
      <w:r>
        <w:rPr>
          <w:rFonts w:ascii="ArialMT" w:hAnsi="ArialMT" w:cs="ArialMT"/>
          <w:color w:val="0000FF"/>
        </w:rPr>
        <w:t>, but</w:t>
      </w:r>
      <w:r w:rsidR="00DC563B" w:rsidRPr="004E520F">
        <w:rPr>
          <w:rFonts w:ascii="ArialMT" w:hAnsi="ArialMT" w:cs="ArialMT"/>
          <w:color w:val="0000FF"/>
        </w:rPr>
        <w:t xml:space="preserve"> </w:t>
      </w:r>
      <w:r>
        <w:rPr>
          <w:rFonts w:ascii="ArialMT" w:hAnsi="ArialMT" w:cs="ArialMT"/>
          <w:color w:val="0000FF"/>
        </w:rPr>
        <w:t>i</w:t>
      </w:r>
      <w:r w:rsidR="00190048">
        <w:rPr>
          <w:rFonts w:ascii="ArialMT" w:hAnsi="ArialMT" w:cs="ArialMT"/>
          <w:color w:val="0000FF"/>
        </w:rPr>
        <w:t>nvestments in</w:t>
      </w:r>
      <w:r w:rsidR="00190048" w:rsidRPr="004E520F">
        <w:rPr>
          <w:rFonts w:ascii="ArialMT" w:hAnsi="ArialMT" w:cs="ArialMT"/>
          <w:color w:val="0000FF"/>
        </w:rPr>
        <w:t xml:space="preserve"> </w:t>
      </w:r>
      <w:r w:rsidR="00DC563B" w:rsidRPr="004E520F">
        <w:rPr>
          <w:rFonts w:ascii="ArialMT" w:hAnsi="ArialMT" w:cs="ArialMT"/>
          <w:color w:val="0000FF"/>
        </w:rPr>
        <w:t>CZO</w:t>
      </w:r>
      <w:r w:rsidR="00190048">
        <w:rPr>
          <w:rFonts w:ascii="ArialMT" w:hAnsi="ArialMT" w:cs="ArialMT"/>
          <w:color w:val="0000FF"/>
        </w:rPr>
        <w:t>s</w:t>
      </w:r>
      <w:r w:rsidR="00DC563B" w:rsidRPr="004E520F">
        <w:rPr>
          <w:rFonts w:ascii="ArialMT" w:hAnsi="ArialMT" w:cs="ArialMT"/>
          <w:color w:val="0000FF"/>
        </w:rPr>
        <w:t>, CU</w:t>
      </w:r>
      <w:r w:rsidR="00190048">
        <w:rPr>
          <w:rFonts w:ascii="ArialMT" w:hAnsi="ArialMT" w:cs="ArialMT"/>
          <w:color w:val="0000FF"/>
        </w:rPr>
        <w:t>A</w:t>
      </w:r>
      <w:r w:rsidR="00DC563B" w:rsidRPr="004E520F">
        <w:rPr>
          <w:rFonts w:ascii="ArialMT" w:hAnsi="ArialMT" w:cs="ArialMT"/>
          <w:color w:val="0000FF"/>
        </w:rPr>
        <w:t xml:space="preserve">HSI, CSDMS, NCED, CRONUS, </w:t>
      </w:r>
      <w:r w:rsidR="00137143">
        <w:rPr>
          <w:rFonts w:ascii="ArialMT" w:hAnsi="ArialMT" w:cs="ArialMT"/>
          <w:color w:val="0000FF"/>
        </w:rPr>
        <w:t xml:space="preserve">CZEN, CHyMP, </w:t>
      </w:r>
      <w:r w:rsidR="00DC563B" w:rsidRPr="004E520F">
        <w:rPr>
          <w:rFonts w:ascii="ArialMT" w:hAnsi="ArialMT" w:cs="ArialMT"/>
          <w:color w:val="0000FF"/>
        </w:rPr>
        <w:t xml:space="preserve">Hydrologic Information System, the Hydrologic Measurement Facility, Paleobiology Database, Macrostrat, GeoStratSys, NEOTOMA, Morphobank and other </w:t>
      </w:r>
      <w:r w:rsidR="0059493B">
        <w:rPr>
          <w:rFonts w:ascii="ArialMT" w:hAnsi="ArialMT" w:cs="ArialMT"/>
          <w:color w:val="0000FF"/>
        </w:rPr>
        <w:t xml:space="preserve">facilities and </w:t>
      </w:r>
      <w:r w:rsidR="00DC563B" w:rsidRPr="004E520F">
        <w:rPr>
          <w:rFonts w:ascii="ArialMT" w:hAnsi="ArialMT" w:cs="ArialMT"/>
          <w:color w:val="0000FF"/>
        </w:rPr>
        <w:t>database</w:t>
      </w:r>
      <w:r w:rsidR="005A5E49">
        <w:rPr>
          <w:rFonts w:ascii="ArialMT" w:hAnsi="ArialMT" w:cs="ArialMT"/>
          <w:color w:val="0000FF"/>
        </w:rPr>
        <w:t>s</w:t>
      </w:r>
      <w:r w:rsidR="00DC563B" w:rsidRPr="004E520F">
        <w:rPr>
          <w:rFonts w:ascii="ArialMT" w:hAnsi="ArialMT" w:cs="ArialMT"/>
          <w:color w:val="0000FF"/>
        </w:rPr>
        <w:t xml:space="preserve"> are a start</w:t>
      </w:r>
      <w:r>
        <w:rPr>
          <w:rFonts w:ascii="ArialMT" w:hAnsi="ArialMT" w:cs="ArialMT"/>
          <w:color w:val="0000FF"/>
        </w:rPr>
        <w:t xml:space="preserve">.  </w:t>
      </w:r>
      <w:r w:rsidR="00DC563B" w:rsidRPr="004E520F">
        <w:rPr>
          <w:rFonts w:ascii="ArialMT" w:hAnsi="ArialMT" w:cs="ArialMT"/>
          <w:color w:val="0000FF"/>
        </w:rPr>
        <w:t xml:space="preserve"> </w:t>
      </w:r>
      <w:r>
        <w:rPr>
          <w:rFonts w:ascii="ArialMT" w:hAnsi="ArialMT" w:cs="ArialMT"/>
          <w:color w:val="0000FF"/>
        </w:rPr>
        <w:t>SEP</w:t>
      </w:r>
      <w:r w:rsidR="00DC563B" w:rsidRPr="004E520F">
        <w:rPr>
          <w:rFonts w:ascii="ArialMT" w:hAnsi="ArialMT" w:cs="ArialMT"/>
          <w:color w:val="0000FF"/>
        </w:rPr>
        <w:t xml:space="preserve"> will continue to seek opportunities for providing additional infrastructure</w:t>
      </w:r>
      <w:r>
        <w:rPr>
          <w:rFonts w:ascii="ArialMT" w:hAnsi="ArialMT" w:cs="ArialMT"/>
          <w:color w:val="0000FF"/>
        </w:rPr>
        <w:t xml:space="preserve"> in the future</w:t>
      </w:r>
      <w:r w:rsidR="00DC563B" w:rsidRPr="004E520F">
        <w:rPr>
          <w:rFonts w:ascii="ArialMT" w:hAnsi="ArialMT" w:cs="ArialMT"/>
          <w:color w:val="0000FF"/>
        </w:rPr>
        <w:t>.</w:t>
      </w:r>
    </w:p>
    <w:p w:rsidR="00CC1E31" w:rsidRPr="00CC1E31" w:rsidRDefault="00A0120C" w:rsidP="00CC1E31">
      <w:pPr>
        <w:tabs>
          <w:tab w:val="left" w:pos="5882"/>
        </w:tabs>
        <w:spacing w:before="100" w:beforeAutospacing="1" w:after="100" w:afterAutospacing="1" w:line="276" w:lineRule="auto"/>
        <w:rPr>
          <w:rFonts w:ascii="Arial" w:hAnsi="Arial" w:cs="Arial"/>
          <w:color w:val="000000"/>
          <w:szCs w:val="24"/>
        </w:rPr>
      </w:pPr>
      <w:r w:rsidRPr="004E520F">
        <w:rPr>
          <w:rFonts w:ascii="Arial" w:hAnsi="Arial" w:cs="Arial"/>
          <w:iCs/>
          <w:color w:val="0000FF"/>
        </w:rPr>
        <w:t>SEP defines its overarching goal as one of</w:t>
      </w:r>
      <w:r w:rsidR="00F85C51" w:rsidRPr="004E520F">
        <w:rPr>
          <w:rFonts w:ascii="Arial" w:hAnsi="Arial" w:cs="Arial"/>
          <w:iCs/>
          <w:color w:val="0000FF"/>
        </w:rPr>
        <w:t xml:space="preserve"> transforming the frontiers of knowledge in surface Earth science through discovery, educa</w:t>
      </w:r>
      <w:r w:rsidRPr="004E520F">
        <w:rPr>
          <w:rFonts w:ascii="Arial" w:hAnsi="Arial" w:cs="Arial"/>
          <w:iCs/>
          <w:color w:val="0000FF"/>
        </w:rPr>
        <w:t xml:space="preserve">tion and infrastructure, and </w:t>
      </w:r>
      <w:r w:rsidR="00F85C51" w:rsidRPr="004E520F">
        <w:rPr>
          <w:rFonts w:ascii="Arial" w:hAnsi="Arial" w:cs="Arial"/>
          <w:iCs/>
          <w:color w:val="0000FF"/>
          <w:u w:val="single"/>
        </w:rPr>
        <w:t xml:space="preserve">ensuring that </w:t>
      </w:r>
      <w:r w:rsidR="00F85C51" w:rsidRPr="004E520F">
        <w:rPr>
          <w:rFonts w:ascii="Arial" w:hAnsi="Arial" w:cs="Arial"/>
          <w:iCs/>
          <w:color w:val="0000FF"/>
          <w:u w:val="single"/>
        </w:rPr>
        <w:lastRenderedPageBreak/>
        <w:t xml:space="preserve">knowledge </w:t>
      </w:r>
      <w:r w:rsidR="0059493B">
        <w:rPr>
          <w:rFonts w:ascii="Arial" w:hAnsi="Arial" w:cs="Arial"/>
          <w:iCs/>
          <w:color w:val="0000FF"/>
          <w:u w:val="single"/>
        </w:rPr>
        <w:t xml:space="preserve">gain benefits </w:t>
      </w:r>
      <w:r w:rsidR="00F85C51" w:rsidRPr="004E520F">
        <w:rPr>
          <w:rFonts w:ascii="Arial" w:hAnsi="Arial" w:cs="Arial"/>
          <w:iCs/>
          <w:color w:val="0000FF"/>
          <w:u w:val="single"/>
        </w:rPr>
        <w:t>society</w:t>
      </w:r>
      <w:r w:rsidR="00F85C51" w:rsidRPr="004E520F">
        <w:rPr>
          <w:rFonts w:ascii="Arial" w:hAnsi="Arial" w:cs="Arial"/>
          <w:iCs/>
          <w:color w:val="0000FF"/>
        </w:rPr>
        <w:t>.</w:t>
      </w:r>
      <w:r w:rsidRPr="004E520F">
        <w:rPr>
          <w:rFonts w:ascii="Arial" w:hAnsi="Arial" w:cs="Arial"/>
          <w:iCs/>
          <w:color w:val="0000FF"/>
        </w:rPr>
        <w:t xml:space="preserve">  We are proud that the present and the previous COV </w:t>
      </w:r>
      <w:r w:rsidR="00FF6ED8" w:rsidRPr="004E520F">
        <w:rPr>
          <w:rFonts w:ascii="Arial" w:hAnsi="Arial" w:cs="Arial"/>
          <w:iCs/>
          <w:color w:val="0000FF"/>
        </w:rPr>
        <w:t>highlighted</w:t>
      </w:r>
      <w:r w:rsidRPr="004E520F">
        <w:rPr>
          <w:rFonts w:ascii="Arial" w:hAnsi="Arial" w:cs="Arial"/>
          <w:iCs/>
          <w:color w:val="0000FF"/>
        </w:rPr>
        <w:t xml:space="preserve"> the significant role our </w:t>
      </w:r>
      <w:r w:rsidR="00FF6ED8" w:rsidRPr="004E520F">
        <w:rPr>
          <w:rFonts w:ascii="Arial" w:hAnsi="Arial" w:cs="Arial"/>
          <w:iCs/>
          <w:color w:val="0000FF"/>
        </w:rPr>
        <w:t xml:space="preserve">research </w:t>
      </w:r>
      <w:r w:rsidRPr="004E520F">
        <w:rPr>
          <w:rFonts w:ascii="Arial" w:hAnsi="Arial" w:cs="Arial"/>
          <w:iCs/>
          <w:color w:val="0000FF"/>
        </w:rPr>
        <w:t xml:space="preserve">communities </w:t>
      </w:r>
      <w:r w:rsidR="00FF6ED8" w:rsidRPr="004E520F">
        <w:rPr>
          <w:rFonts w:ascii="Arial" w:hAnsi="Arial" w:cs="Arial"/>
          <w:iCs/>
          <w:color w:val="0000FF"/>
        </w:rPr>
        <w:t>play</w:t>
      </w:r>
      <w:r w:rsidRPr="004E520F">
        <w:rPr>
          <w:rFonts w:ascii="Arial" w:hAnsi="Arial" w:cs="Arial"/>
          <w:iCs/>
          <w:color w:val="0000FF"/>
        </w:rPr>
        <w:t xml:space="preserve"> in enhancing understanding </w:t>
      </w:r>
      <w:r w:rsidR="00FF6ED8" w:rsidRPr="004E520F">
        <w:rPr>
          <w:rFonts w:ascii="Arial" w:hAnsi="Arial" w:cs="Arial"/>
          <w:iCs/>
          <w:color w:val="0000FF"/>
        </w:rPr>
        <w:t xml:space="preserve">of </w:t>
      </w:r>
      <w:r w:rsidRPr="004E520F">
        <w:rPr>
          <w:rFonts w:ascii="Arial" w:hAnsi="Arial" w:cs="Arial"/>
          <w:iCs/>
          <w:color w:val="0000FF"/>
        </w:rPr>
        <w:t xml:space="preserve">and informing critical societal </w:t>
      </w:r>
      <w:r w:rsidR="00FF6ED8" w:rsidRPr="004E520F">
        <w:rPr>
          <w:rFonts w:ascii="Arial" w:hAnsi="Arial" w:cs="Arial"/>
          <w:iCs/>
          <w:color w:val="0000FF"/>
        </w:rPr>
        <w:t xml:space="preserve">decisions on </w:t>
      </w:r>
      <w:r w:rsidRPr="004E520F">
        <w:rPr>
          <w:rFonts w:ascii="Arial" w:hAnsi="Arial" w:cs="Arial"/>
          <w:iCs/>
          <w:color w:val="0000FF"/>
        </w:rPr>
        <w:t xml:space="preserve">water, soil, landscape and </w:t>
      </w:r>
      <w:r w:rsidR="00137143">
        <w:rPr>
          <w:rFonts w:ascii="Arial" w:hAnsi="Arial" w:cs="Arial"/>
          <w:iCs/>
          <w:color w:val="0000FF"/>
        </w:rPr>
        <w:t>holistic environmental services</w:t>
      </w:r>
      <w:r w:rsidRPr="004E520F">
        <w:rPr>
          <w:rFonts w:ascii="Arial" w:hAnsi="Arial" w:cs="Arial"/>
          <w:iCs/>
          <w:color w:val="0000FF"/>
        </w:rPr>
        <w:t xml:space="preserve">.  </w:t>
      </w:r>
      <w:r w:rsidR="00DC563B" w:rsidRPr="004E520F">
        <w:rPr>
          <w:rFonts w:ascii="Arial" w:hAnsi="Arial" w:cs="Arial"/>
          <w:iCs/>
          <w:color w:val="0000FF"/>
        </w:rPr>
        <w:t>We emphasize, nevertheless, that o</w:t>
      </w:r>
      <w:r w:rsidR="00F85C51" w:rsidRPr="004E520F">
        <w:rPr>
          <w:rFonts w:ascii="Arial" w:hAnsi="Arial" w:cs="Arial"/>
          <w:iCs/>
          <w:color w:val="0000FF"/>
        </w:rPr>
        <w:t xml:space="preserve">ur long term ability to </w:t>
      </w:r>
      <w:r w:rsidRPr="004E520F">
        <w:rPr>
          <w:rFonts w:ascii="Arial" w:hAnsi="Arial" w:cs="Arial"/>
          <w:iCs/>
          <w:color w:val="0000FF"/>
        </w:rPr>
        <w:t xml:space="preserve">continue to </w:t>
      </w:r>
      <w:r w:rsidR="00F85C51" w:rsidRPr="004E520F">
        <w:rPr>
          <w:rFonts w:ascii="Arial" w:hAnsi="Arial" w:cs="Arial"/>
          <w:iCs/>
          <w:color w:val="0000FF"/>
        </w:rPr>
        <w:t xml:space="preserve">innovate </w:t>
      </w:r>
      <w:r w:rsidRPr="004E520F">
        <w:rPr>
          <w:rFonts w:ascii="Arial" w:hAnsi="Arial" w:cs="Arial"/>
          <w:iCs/>
          <w:color w:val="0000FF"/>
        </w:rPr>
        <w:t xml:space="preserve">for society </w:t>
      </w:r>
      <w:r w:rsidR="0059493B">
        <w:rPr>
          <w:rFonts w:ascii="Arial" w:hAnsi="Arial" w:cs="Arial"/>
          <w:iCs/>
          <w:color w:val="0000FF"/>
        </w:rPr>
        <w:t xml:space="preserve">depends on the vibrancy of </w:t>
      </w:r>
      <w:r w:rsidR="00F85C51" w:rsidRPr="004E520F">
        <w:rPr>
          <w:rFonts w:ascii="Arial" w:hAnsi="Arial" w:cs="Arial"/>
          <w:iCs/>
          <w:color w:val="0000FF"/>
        </w:rPr>
        <w:t xml:space="preserve">core programs in geobiology and low temperature geochemistry, geomorphology and land use dynamics, hydrologic sciences and sedimentary geology and paleobiology.  </w:t>
      </w:r>
      <w:r w:rsidR="00DC563B" w:rsidRPr="004E520F">
        <w:rPr>
          <w:rFonts w:ascii="Arial" w:hAnsi="Arial" w:cs="Arial"/>
          <w:color w:val="0000FF"/>
        </w:rPr>
        <w:t>We also note that p</w:t>
      </w:r>
      <w:r w:rsidR="00F85C51" w:rsidRPr="004E520F">
        <w:rPr>
          <w:rFonts w:ascii="Arial" w:hAnsi="Arial" w:cs="Arial"/>
          <w:iCs/>
          <w:color w:val="0000FF"/>
        </w:rPr>
        <w:t>ublic interest in dynamic surface processes, hazards and human-environmental systems has great value in helping educate a diverse public, especially the young, on the methods and importance o</w:t>
      </w:r>
      <w:r w:rsidR="00CC1E31">
        <w:rPr>
          <w:rFonts w:ascii="Arial" w:hAnsi="Arial" w:cs="Arial"/>
          <w:iCs/>
          <w:color w:val="0000FF"/>
        </w:rPr>
        <w:t>f science to society</w:t>
      </w:r>
      <w:r w:rsidR="00F85C51" w:rsidRPr="004E520F">
        <w:rPr>
          <w:rFonts w:ascii="Arial" w:hAnsi="Arial" w:cs="Arial"/>
          <w:iCs/>
          <w:color w:val="0000FF"/>
        </w:rPr>
        <w:t>.</w:t>
      </w:r>
    </w:p>
    <w:p w:rsidR="00CC1E31" w:rsidRDefault="00CC1E31" w:rsidP="00CC1E31">
      <w:pPr>
        <w:rPr>
          <w:rFonts w:ascii="Arial" w:hAnsi="Arial" w:cs="Arial"/>
          <w:color w:val="000000"/>
          <w:szCs w:val="24"/>
        </w:rPr>
      </w:pPr>
      <w:r w:rsidRPr="00935374">
        <w:rPr>
          <w:rFonts w:ascii="Arial" w:hAnsi="Arial" w:cs="Arial"/>
          <w:b/>
          <w:color w:val="000000"/>
          <w:szCs w:val="24"/>
        </w:rPr>
        <w:t>CLOSING COMMENTS</w:t>
      </w:r>
      <w:r w:rsidRPr="00935374">
        <w:rPr>
          <w:rFonts w:ascii="Arial" w:hAnsi="Arial" w:cs="Arial"/>
          <w:color w:val="000000"/>
          <w:szCs w:val="24"/>
        </w:rPr>
        <w:t>:</w:t>
      </w:r>
    </w:p>
    <w:p w:rsidR="00316FAD" w:rsidRPr="00CC1E31" w:rsidRDefault="00F85C51" w:rsidP="00CC1E31">
      <w:pPr>
        <w:tabs>
          <w:tab w:val="left" w:pos="5882"/>
        </w:tabs>
        <w:spacing w:before="100" w:beforeAutospacing="1" w:after="100" w:afterAutospacing="1" w:line="276" w:lineRule="auto"/>
        <w:rPr>
          <w:rFonts w:ascii="Arial" w:hAnsi="Arial" w:cs="Arial"/>
          <w:color w:val="000000"/>
          <w:szCs w:val="24"/>
        </w:rPr>
      </w:pPr>
      <w:r w:rsidRPr="004E520F">
        <w:rPr>
          <w:rFonts w:ascii="Arial" w:hAnsi="Arial" w:cs="Arial"/>
          <w:color w:val="0000FF"/>
          <w:szCs w:val="22"/>
        </w:rPr>
        <w:t xml:space="preserve">We appreciate the time and effort </w:t>
      </w:r>
      <w:r w:rsidR="0059493B">
        <w:rPr>
          <w:rFonts w:ascii="Arial" w:hAnsi="Arial" w:cs="Arial"/>
          <w:color w:val="0000FF"/>
          <w:szCs w:val="22"/>
        </w:rPr>
        <w:t>invested</w:t>
      </w:r>
      <w:r w:rsidRPr="004E520F">
        <w:rPr>
          <w:rFonts w:ascii="Arial" w:hAnsi="Arial" w:cs="Arial"/>
          <w:color w:val="0000FF"/>
          <w:szCs w:val="22"/>
        </w:rPr>
        <w:t xml:space="preserve"> into the insightful review of </w:t>
      </w:r>
      <w:r w:rsidR="00DC563B" w:rsidRPr="004E520F">
        <w:rPr>
          <w:rFonts w:ascii="Arial" w:hAnsi="Arial" w:cs="Arial"/>
          <w:color w:val="0000FF"/>
          <w:szCs w:val="22"/>
        </w:rPr>
        <w:t xml:space="preserve">GG, GLD, HS and SGP </w:t>
      </w:r>
      <w:r w:rsidR="00E443C2" w:rsidRPr="004E520F">
        <w:rPr>
          <w:rFonts w:ascii="Arial" w:hAnsi="Arial" w:cs="Arial"/>
          <w:color w:val="0000FF"/>
          <w:szCs w:val="22"/>
        </w:rPr>
        <w:t>by the COV</w:t>
      </w:r>
      <w:r w:rsidRPr="004E520F">
        <w:rPr>
          <w:rFonts w:ascii="Arial" w:hAnsi="Arial" w:cs="Arial"/>
          <w:color w:val="0000FF"/>
          <w:szCs w:val="22"/>
        </w:rPr>
        <w:t xml:space="preserve">.  We are delighted that </w:t>
      </w:r>
      <w:r w:rsidRPr="004E520F">
        <w:rPr>
          <w:rFonts w:ascii="Arial" w:eastAsia="ArialUnicodeMS" w:hAnsi="Arial" w:cs="Arial"/>
          <w:color w:val="0000FF"/>
          <w:szCs w:val="22"/>
        </w:rPr>
        <w:t xml:space="preserve">the </w:t>
      </w:r>
      <w:r w:rsidR="00E443C2" w:rsidRPr="004E520F">
        <w:rPr>
          <w:rFonts w:ascii="Arial" w:eastAsia="ArialUnicodeMS" w:hAnsi="Arial" w:cs="Arial"/>
          <w:color w:val="0000FF"/>
          <w:szCs w:val="22"/>
        </w:rPr>
        <w:t xml:space="preserve">Committee was favorably </w:t>
      </w:r>
      <w:r w:rsidRPr="004E520F">
        <w:rPr>
          <w:rFonts w:ascii="Arial" w:eastAsia="ArialUnicodeMS" w:hAnsi="Arial" w:cs="Arial"/>
          <w:color w:val="0000FF"/>
          <w:szCs w:val="22"/>
        </w:rPr>
        <w:t xml:space="preserve">impressed with the performance of SEP personnel and by the qualifications and dedication of the current </w:t>
      </w:r>
      <w:r w:rsidR="00AD110A">
        <w:rPr>
          <w:rFonts w:ascii="Arial" w:eastAsia="ArialUnicodeMS" w:hAnsi="Arial" w:cs="Arial"/>
          <w:color w:val="0000FF"/>
          <w:szCs w:val="22"/>
        </w:rPr>
        <w:t>Program Officer</w:t>
      </w:r>
      <w:r w:rsidR="007C618F">
        <w:rPr>
          <w:rFonts w:ascii="Arial" w:eastAsia="ArialUnicodeMS" w:hAnsi="Arial" w:cs="Arial"/>
          <w:color w:val="0000FF"/>
          <w:szCs w:val="22"/>
        </w:rPr>
        <w:t>s</w:t>
      </w:r>
      <w:r w:rsidRPr="004E520F">
        <w:rPr>
          <w:rFonts w:ascii="Arial" w:eastAsia="ArialUnicodeMS" w:hAnsi="Arial" w:cs="Arial"/>
          <w:color w:val="0000FF"/>
          <w:szCs w:val="22"/>
        </w:rPr>
        <w:t xml:space="preserve"> and administrative staff.   We are pleased with the COV’s conclusions that (1) the review process of our programs is handled very well, with proper consideration given to intellectual merit, broader impacts, and transformative review criteria, and</w:t>
      </w:r>
      <w:r w:rsidR="00E443C2" w:rsidRPr="004E520F">
        <w:rPr>
          <w:rFonts w:ascii="Arial" w:eastAsia="ArialUnicodeMS" w:hAnsi="Arial" w:cs="Arial"/>
          <w:color w:val="0000FF"/>
          <w:szCs w:val="22"/>
        </w:rPr>
        <w:t xml:space="preserve"> (2) </w:t>
      </w:r>
      <w:r w:rsidRPr="004E520F">
        <w:rPr>
          <w:rFonts w:ascii="Arial" w:eastAsia="ArialUnicodeMS" w:hAnsi="Arial" w:cs="Arial"/>
          <w:color w:val="0000FF"/>
          <w:szCs w:val="22"/>
        </w:rPr>
        <w:t xml:space="preserve">our program portfolios are diverse, </w:t>
      </w:r>
      <w:r w:rsidR="00316FAD" w:rsidRPr="004E520F">
        <w:rPr>
          <w:rFonts w:ascii="Arial" w:eastAsia="ArialUnicodeMS" w:hAnsi="Arial" w:cs="Arial"/>
          <w:color w:val="0000FF"/>
          <w:szCs w:val="22"/>
        </w:rPr>
        <w:t xml:space="preserve">of high quality and </w:t>
      </w:r>
      <w:r w:rsidRPr="004E520F">
        <w:rPr>
          <w:rFonts w:ascii="Arial" w:eastAsia="ArialUnicodeMS" w:hAnsi="Arial" w:cs="Arial"/>
          <w:color w:val="0000FF"/>
          <w:szCs w:val="22"/>
        </w:rPr>
        <w:t xml:space="preserve">well-balanced </w:t>
      </w:r>
      <w:r w:rsidR="00316FAD" w:rsidRPr="004E520F">
        <w:rPr>
          <w:rFonts w:ascii="Arial" w:eastAsia="ArialUnicodeMS" w:hAnsi="Arial" w:cs="Arial"/>
          <w:color w:val="0000FF"/>
          <w:szCs w:val="22"/>
        </w:rPr>
        <w:t>(</w:t>
      </w:r>
      <w:r w:rsidR="00316FAD" w:rsidRPr="004E520F">
        <w:rPr>
          <w:rFonts w:ascii="ArialMT" w:hAnsi="ArialMT" w:cs="ArialMT"/>
          <w:color w:val="0000FF"/>
        </w:rPr>
        <w:t>sub-disciplines, award size/duration, high risk, interdisciplinary, collaborative, investigator/institution types, underrepresented groups, infrastructure</w:t>
      </w:r>
      <w:r w:rsidR="00316FAD" w:rsidRPr="004E520F">
        <w:rPr>
          <w:rFonts w:ascii="Arial" w:eastAsia="ArialUnicodeMS" w:hAnsi="Arial" w:cs="Arial"/>
          <w:color w:val="0000FF"/>
          <w:szCs w:val="22"/>
        </w:rPr>
        <w:t xml:space="preserve">).  </w:t>
      </w:r>
      <w:r w:rsidR="00E443C2" w:rsidRPr="004E520F">
        <w:rPr>
          <w:rFonts w:ascii="Arial" w:eastAsia="ArialUnicodeMS" w:hAnsi="Arial" w:cs="Arial"/>
          <w:color w:val="0000FF"/>
          <w:szCs w:val="22"/>
        </w:rPr>
        <w:t>It</w:t>
      </w:r>
      <w:r w:rsidR="00316FAD" w:rsidRPr="004E520F">
        <w:rPr>
          <w:rFonts w:ascii="Arial" w:eastAsia="ArialUnicodeMS" w:hAnsi="Arial" w:cs="Arial"/>
          <w:color w:val="0000FF"/>
          <w:szCs w:val="22"/>
        </w:rPr>
        <w:t xml:space="preserve"> is</w:t>
      </w:r>
      <w:r w:rsidR="00E443C2" w:rsidRPr="004E520F">
        <w:rPr>
          <w:rFonts w:ascii="Arial" w:eastAsia="ArialUnicodeMS" w:hAnsi="Arial" w:cs="Arial"/>
          <w:color w:val="0000FF"/>
          <w:szCs w:val="22"/>
        </w:rPr>
        <w:t xml:space="preserve"> also gratifying that the Committee</w:t>
      </w:r>
      <w:r w:rsidR="00316FAD" w:rsidRPr="004E520F">
        <w:rPr>
          <w:rFonts w:ascii="Arial" w:eastAsia="ArialUnicodeMS" w:hAnsi="Arial" w:cs="Arial"/>
          <w:color w:val="0000FF"/>
          <w:szCs w:val="22"/>
        </w:rPr>
        <w:t xml:space="preserve"> share</w:t>
      </w:r>
      <w:r w:rsidR="00E443C2" w:rsidRPr="004E520F">
        <w:rPr>
          <w:rFonts w:ascii="Arial" w:eastAsia="ArialUnicodeMS" w:hAnsi="Arial" w:cs="Arial"/>
          <w:color w:val="0000FF"/>
          <w:szCs w:val="22"/>
        </w:rPr>
        <w:t>s</w:t>
      </w:r>
      <w:r w:rsidR="00316FAD" w:rsidRPr="004E520F">
        <w:rPr>
          <w:rFonts w:ascii="Arial" w:eastAsia="ArialUnicodeMS" w:hAnsi="Arial" w:cs="Arial"/>
          <w:color w:val="0000FF"/>
          <w:szCs w:val="22"/>
        </w:rPr>
        <w:t xml:space="preserve"> our view that our programs are </w:t>
      </w:r>
      <w:r w:rsidR="00E443C2" w:rsidRPr="004E520F">
        <w:rPr>
          <w:rFonts w:ascii="Arial" w:eastAsia="ArialUnicodeMS" w:hAnsi="Arial" w:cs="Arial"/>
          <w:color w:val="0000FF"/>
          <w:szCs w:val="22"/>
        </w:rPr>
        <w:t xml:space="preserve">very </w:t>
      </w:r>
      <w:r w:rsidR="00316FAD" w:rsidRPr="004E520F">
        <w:rPr>
          <w:rFonts w:ascii="Arial" w:eastAsia="ArialUnicodeMS" w:hAnsi="Arial" w:cs="Arial"/>
          <w:color w:val="0000FF"/>
          <w:szCs w:val="22"/>
        </w:rPr>
        <w:t>relevant to society, national priorities and the NSF overall mission.</w:t>
      </w:r>
    </w:p>
    <w:p w:rsidR="00B307A0" w:rsidRPr="004E520F" w:rsidRDefault="00E443C2" w:rsidP="00316FAD">
      <w:pPr>
        <w:spacing w:before="100" w:beforeAutospacing="1" w:after="100" w:afterAutospacing="1" w:line="276" w:lineRule="auto"/>
        <w:rPr>
          <w:rFonts w:ascii="ArialMT" w:hAnsi="ArialMT" w:cs="ArialMT"/>
          <w:color w:val="0000FF"/>
        </w:rPr>
      </w:pPr>
      <w:r w:rsidRPr="004E520F">
        <w:rPr>
          <w:rFonts w:ascii="ArialMT" w:hAnsi="ArialMT" w:cs="ArialMT"/>
          <w:color w:val="0000FF"/>
        </w:rPr>
        <w:t>We concur with the</w:t>
      </w:r>
      <w:r w:rsidR="00DC563B" w:rsidRPr="004E520F">
        <w:rPr>
          <w:rFonts w:ascii="ArialMT" w:hAnsi="ArialMT" w:cs="ArialMT"/>
          <w:color w:val="0000FF"/>
        </w:rPr>
        <w:t xml:space="preserve"> COV</w:t>
      </w:r>
      <w:r w:rsidRPr="004E520F">
        <w:rPr>
          <w:rFonts w:ascii="ArialMT" w:hAnsi="ArialMT" w:cs="ArialMT"/>
          <w:color w:val="0000FF"/>
        </w:rPr>
        <w:t>’s assessment</w:t>
      </w:r>
      <w:r w:rsidR="00DC563B" w:rsidRPr="004E520F">
        <w:rPr>
          <w:rFonts w:ascii="ArialMT" w:hAnsi="ArialMT" w:cs="ArialMT"/>
          <w:color w:val="0000FF"/>
        </w:rPr>
        <w:t xml:space="preserve"> that the challenges will remain substantial for the SEP programs in the future, and the present budget climate will likely increase that challenge.</w:t>
      </w:r>
      <w:r w:rsidR="00316FAD" w:rsidRPr="004E520F">
        <w:rPr>
          <w:rFonts w:ascii="ArialMT" w:hAnsi="ArialMT" w:cs="ArialMT"/>
          <w:color w:val="0000FF"/>
        </w:rPr>
        <w:t xml:space="preserve">  The leadership of EAR and GEO are committed to addressing the issue of proposal workload and personnel needs (e.g., HS).  The issue raised </w:t>
      </w:r>
      <w:r w:rsidR="00F11E67" w:rsidRPr="004E520F">
        <w:rPr>
          <w:rFonts w:ascii="ArialMT" w:hAnsi="ArialMT" w:cs="ArialMT"/>
          <w:color w:val="0000FF"/>
        </w:rPr>
        <w:t>by the COV on</w:t>
      </w:r>
      <w:r w:rsidR="00316FAD" w:rsidRPr="004E520F">
        <w:rPr>
          <w:rFonts w:ascii="ArialMT" w:hAnsi="ArialMT" w:cs="ArialMT"/>
          <w:color w:val="0000FF"/>
        </w:rPr>
        <w:t xml:space="preserve"> </w:t>
      </w:r>
      <w:r w:rsidRPr="004E520F">
        <w:rPr>
          <w:rFonts w:ascii="ArialMT" w:hAnsi="ArialMT" w:cs="ArialMT"/>
          <w:color w:val="0000FF"/>
        </w:rPr>
        <w:t xml:space="preserve">needed </w:t>
      </w:r>
      <w:r w:rsidR="00316FAD" w:rsidRPr="004E520F">
        <w:rPr>
          <w:rFonts w:ascii="ArialMT" w:hAnsi="ArialMT" w:cs="ArialMT"/>
          <w:color w:val="0000FF"/>
        </w:rPr>
        <w:t>collaborations between SEP and DEP</w:t>
      </w:r>
      <w:r w:rsidRPr="004E520F">
        <w:rPr>
          <w:rFonts w:ascii="ArialMT" w:hAnsi="ArialMT" w:cs="ArialMT"/>
          <w:color w:val="0000FF"/>
        </w:rPr>
        <w:t xml:space="preserve"> communities</w:t>
      </w:r>
      <w:r w:rsidR="00316FAD" w:rsidRPr="004E520F">
        <w:rPr>
          <w:rFonts w:ascii="ArialMT" w:hAnsi="ArialMT" w:cs="ArialMT"/>
          <w:color w:val="0000FF"/>
        </w:rPr>
        <w:t xml:space="preserve">, as well as the </w:t>
      </w:r>
      <w:r w:rsidR="00F11E67" w:rsidRPr="004E520F">
        <w:rPr>
          <w:rFonts w:ascii="ArialMT" w:hAnsi="ArialMT" w:cs="ArialMT"/>
          <w:color w:val="0000FF"/>
        </w:rPr>
        <w:t xml:space="preserve">lack of funding vehicles for mid-range projects are topics of </w:t>
      </w:r>
      <w:r w:rsidRPr="004E520F">
        <w:rPr>
          <w:rFonts w:ascii="ArialMT" w:hAnsi="ArialMT" w:cs="ArialMT"/>
          <w:color w:val="0000FF"/>
        </w:rPr>
        <w:t>advanced</w:t>
      </w:r>
      <w:r w:rsidR="00F11E67" w:rsidRPr="004E520F">
        <w:rPr>
          <w:rFonts w:ascii="ArialMT" w:hAnsi="ArialMT" w:cs="ArialMT"/>
          <w:color w:val="0000FF"/>
        </w:rPr>
        <w:t xml:space="preserve"> discussion</w:t>
      </w:r>
      <w:r w:rsidRPr="004E520F">
        <w:rPr>
          <w:rFonts w:ascii="ArialMT" w:hAnsi="ArialMT" w:cs="ArialMT"/>
          <w:color w:val="0000FF"/>
        </w:rPr>
        <w:t>s</w:t>
      </w:r>
      <w:r w:rsidR="00F11E67" w:rsidRPr="004E520F">
        <w:rPr>
          <w:rFonts w:ascii="ArialMT" w:hAnsi="ArialMT" w:cs="ArialMT"/>
          <w:color w:val="0000FF"/>
        </w:rPr>
        <w:t xml:space="preserve"> within EAR, and at least one strategy for addressing </w:t>
      </w:r>
      <w:r w:rsidRPr="004E520F">
        <w:rPr>
          <w:rFonts w:ascii="ArialMT" w:hAnsi="ArialMT" w:cs="ArialMT"/>
          <w:color w:val="0000FF"/>
        </w:rPr>
        <w:t>both</w:t>
      </w:r>
      <w:r w:rsidR="00F11E67" w:rsidRPr="004E520F">
        <w:rPr>
          <w:rFonts w:ascii="ArialMT" w:hAnsi="ArialMT" w:cs="ArialMT"/>
          <w:color w:val="0000FF"/>
        </w:rPr>
        <w:t xml:space="preserve"> is currently being </w:t>
      </w:r>
      <w:r w:rsidR="00960F13" w:rsidRPr="004E520F">
        <w:rPr>
          <w:rFonts w:ascii="ArialMT" w:hAnsi="ArialMT" w:cs="ArialMT"/>
          <w:color w:val="0000FF"/>
        </w:rPr>
        <w:t>planned</w:t>
      </w:r>
      <w:r w:rsidR="00F11E67" w:rsidRPr="004E520F">
        <w:rPr>
          <w:rFonts w:ascii="ArialMT" w:hAnsi="ArialMT" w:cs="ArialMT"/>
          <w:color w:val="0000FF"/>
        </w:rPr>
        <w:t>.  Issues related to low</w:t>
      </w:r>
      <w:r w:rsidR="00960F13" w:rsidRPr="004E520F">
        <w:rPr>
          <w:rFonts w:ascii="ArialMT" w:hAnsi="ArialMT" w:cs="ArialMT"/>
          <w:color w:val="0000FF"/>
        </w:rPr>
        <w:t>er</w:t>
      </w:r>
      <w:r w:rsidR="00F11E67" w:rsidRPr="004E520F">
        <w:rPr>
          <w:rFonts w:ascii="ArialMT" w:hAnsi="ArialMT" w:cs="ArialMT"/>
          <w:color w:val="0000FF"/>
        </w:rPr>
        <w:t xml:space="preserve"> level</w:t>
      </w:r>
      <w:r w:rsidR="00960F13" w:rsidRPr="004E520F">
        <w:rPr>
          <w:rFonts w:ascii="ArialMT" w:hAnsi="ArialMT" w:cs="ArialMT"/>
          <w:color w:val="0000FF"/>
        </w:rPr>
        <w:t>s</w:t>
      </w:r>
      <w:r w:rsidR="00F11E67" w:rsidRPr="004E520F">
        <w:rPr>
          <w:rFonts w:ascii="ArialMT" w:hAnsi="ArialMT" w:cs="ArialMT"/>
          <w:color w:val="0000FF"/>
        </w:rPr>
        <w:t xml:space="preserve"> of </w:t>
      </w:r>
      <w:r w:rsidR="00960F13" w:rsidRPr="004E520F">
        <w:rPr>
          <w:rFonts w:ascii="ArialMT" w:hAnsi="ArialMT" w:cs="ArialMT"/>
          <w:color w:val="0000FF"/>
        </w:rPr>
        <w:t>funding</w:t>
      </w:r>
      <w:r w:rsidR="00F11E67" w:rsidRPr="004E520F">
        <w:rPr>
          <w:rFonts w:ascii="ArialMT" w:hAnsi="ArialMT" w:cs="ArialMT"/>
          <w:color w:val="0000FF"/>
        </w:rPr>
        <w:t xml:space="preserve"> </w:t>
      </w:r>
      <w:r w:rsidR="00960F13" w:rsidRPr="004E520F">
        <w:rPr>
          <w:rFonts w:ascii="ArialMT" w:hAnsi="ArialMT" w:cs="ArialMT"/>
          <w:color w:val="0000FF"/>
        </w:rPr>
        <w:t>and</w:t>
      </w:r>
      <w:r w:rsidR="00F11E67" w:rsidRPr="004E520F">
        <w:rPr>
          <w:rFonts w:ascii="ArialMT" w:hAnsi="ArialMT" w:cs="ArialMT"/>
          <w:color w:val="0000FF"/>
        </w:rPr>
        <w:t xml:space="preserve"> shorter durations (e.g., “limit to viability”), </w:t>
      </w:r>
      <w:r w:rsidR="005A5E49">
        <w:rPr>
          <w:rFonts w:ascii="ArialMT" w:hAnsi="ArialMT" w:cs="ArialMT"/>
          <w:color w:val="0000FF"/>
        </w:rPr>
        <w:t xml:space="preserve">apparent </w:t>
      </w:r>
      <w:r w:rsidR="00F11E67" w:rsidRPr="004E520F">
        <w:rPr>
          <w:rFonts w:ascii="ArialMT" w:hAnsi="ArialMT" w:cs="ArialMT"/>
          <w:color w:val="0000FF"/>
        </w:rPr>
        <w:t xml:space="preserve">lower success rates for cross-disciplinary projects, and “apparent disadvantage” to proposals receiving more reviewers are </w:t>
      </w:r>
      <w:r w:rsidR="00960F13" w:rsidRPr="004E520F">
        <w:rPr>
          <w:rFonts w:ascii="ArialMT" w:hAnsi="ArialMT" w:cs="ArialMT"/>
          <w:color w:val="0000FF"/>
        </w:rPr>
        <w:t xml:space="preserve">all </w:t>
      </w:r>
      <w:r w:rsidR="00F11E67" w:rsidRPr="004E520F">
        <w:rPr>
          <w:rFonts w:ascii="ArialMT" w:hAnsi="ArialMT" w:cs="ArialMT"/>
          <w:color w:val="0000FF"/>
        </w:rPr>
        <w:t>worthy of further examination</w:t>
      </w:r>
      <w:r w:rsidR="00960F13" w:rsidRPr="004E520F">
        <w:rPr>
          <w:rFonts w:ascii="ArialMT" w:hAnsi="ArialMT" w:cs="ArialMT"/>
          <w:color w:val="0000FF"/>
        </w:rPr>
        <w:t xml:space="preserve">; SEP </w:t>
      </w:r>
      <w:r w:rsidR="00F11E67" w:rsidRPr="004E520F">
        <w:rPr>
          <w:rFonts w:ascii="ArialMT" w:hAnsi="ArialMT" w:cs="ArialMT"/>
          <w:color w:val="0000FF"/>
        </w:rPr>
        <w:t xml:space="preserve">will pursue these evaluations accordingly.  The recurring problem of enhancing the participation of underrepresented minorities in our programs will be met with a more aggressive approach </w:t>
      </w:r>
      <w:r w:rsidR="00137143">
        <w:rPr>
          <w:rFonts w:ascii="ArialMT" w:hAnsi="ArialMT" w:cs="ArialMT"/>
          <w:color w:val="0000FF"/>
        </w:rPr>
        <w:t xml:space="preserve">beginning this </w:t>
      </w:r>
      <w:r w:rsidR="00F11E67" w:rsidRPr="004E520F">
        <w:rPr>
          <w:rFonts w:ascii="ArialMT" w:hAnsi="ArialMT" w:cs="ArialMT"/>
          <w:color w:val="0000FF"/>
        </w:rPr>
        <w:t>year</w:t>
      </w:r>
      <w:r w:rsidR="00137143">
        <w:rPr>
          <w:rFonts w:ascii="ArialMT" w:hAnsi="ArialMT" w:cs="ArialMT"/>
          <w:color w:val="0000FF"/>
        </w:rPr>
        <w:t xml:space="preserve"> (</w:t>
      </w:r>
      <w:r w:rsidR="00137143" w:rsidRPr="004E520F">
        <w:rPr>
          <w:rFonts w:ascii="ArialMT" w:hAnsi="ArialMT" w:cs="ArialMT"/>
          <w:color w:val="0000FF"/>
        </w:rPr>
        <w:t>e.g., item 11 in the Broad Section-Wide Issues</w:t>
      </w:r>
      <w:r w:rsidR="00137143">
        <w:rPr>
          <w:rFonts w:ascii="ArialMT" w:hAnsi="ArialMT" w:cs="ArialMT"/>
          <w:color w:val="0000FF"/>
        </w:rPr>
        <w:t>)</w:t>
      </w:r>
      <w:r w:rsidR="00137143" w:rsidRPr="004E520F">
        <w:rPr>
          <w:rFonts w:ascii="ArialMT" w:hAnsi="ArialMT" w:cs="ArialMT"/>
          <w:color w:val="0000FF"/>
        </w:rPr>
        <w:t>.</w:t>
      </w:r>
      <w:r w:rsidR="00B307A0" w:rsidRPr="004E520F">
        <w:rPr>
          <w:rFonts w:ascii="ArialMT" w:hAnsi="ArialMT" w:cs="ArialMT"/>
          <w:color w:val="0000FF"/>
        </w:rPr>
        <w:t xml:space="preserve">  </w:t>
      </w:r>
    </w:p>
    <w:p w:rsidR="004F560D" w:rsidRPr="004E520F" w:rsidRDefault="00B307A0" w:rsidP="00960F13">
      <w:pPr>
        <w:spacing w:before="100" w:beforeAutospacing="1" w:after="100" w:afterAutospacing="1" w:line="276" w:lineRule="auto"/>
        <w:rPr>
          <w:rFonts w:ascii="ArialMT" w:hAnsi="ArialMT" w:cs="ArialMT"/>
          <w:color w:val="0000FF"/>
        </w:rPr>
      </w:pPr>
      <w:r w:rsidRPr="004E520F">
        <w:rPr>
          <w:rFonts w:ascii="ArialMT" w:hAnsi="ArialMT" w:cs="ArialMT"/>
          <w:color w:val="0000FF"/>
        </w:rPr>
        <w:t xml:space="preserve">SEP communities are major </w:t>
      </w:r>
      <w:r w:rsidR="00960F13" w:rsidRPr="004E520F">
        <w:rPr>
          <w:rFonts w:ascii="ArialMT" w:hAnsi="ArialMT" w:cs="ArialMT"/>
          <w:color w:val="0000FF"/>
        </w:rPr>
        <w:t xml:space="preserve">participants in </w:t>
      </w:r>
      <w:r w:rsidRPr="004E520F">
        <w:rPr>
          <w:rFonts w:ascii="ArialMT" w:hAnsi="ArialMT" w:cs="ArialMT"/>
          <w:color w:val="0000FF"/>
        </w:rPr>
        <w:t xml:space="preserve">cross-disciplinary programs in </w:t>
      </w:r>
      <w:r w:rsidR="00960F13" w:rsidRPr="004E520F">
        <w:rPr>
          <w:rFonts w:ascii="ArialMT" w:hAnsi="ArialMT" w:cs="ArialMT"/>
          <w:color w:val="0000FF"/>
        </w:rPr>
        <w:t xml:space="preserve">EAR, </w:t>
      </w:r>
      <w:r w:rsidRPr="004E520F">
        <w:rPr>
          <w:rFonts w:ascii="ArialMT" w:hAnsi="ArialMT" w:cs="ArialMT"/>
          <w:color w:val="0000FF"/>
        </w:rPr>
        <w:t xml:space="preserve">GEO and NSF.  Our </w:t>
      </w:r>
      <w:r w:rsidR="00AD110A">
        <w:rPr>
          <w:rFonts w:ascii="ArialMT" w:hAnsi="ArialMT" w:cs="ArialMT"/>
          <w:color w:val="0000FF"/>
        </w:rPr>
        <w:t>Program Officer</w:t>
      </w:r>
      <w:r w:rsidR="007C618F">
        <w:rPr>
          <w:rFonts w:ascii="ArialMT" w:hAnsi="ArialMT" w:cs="ArialMT"/>
          <w:color w:val="0000FF"/>
        </w:rPr>
        <w:t>s</w:t>
      </w:r>
      <w:r w:rsidRPr="004E520F">
        <w:rPr>
          <w:rFonts w:ascii="ArialMT" w:hAnsi="ArialMT" w:cs="ArialMT"/>
          <w:color w:val="0000FF"/>
        </w:rPr>
        <w:t xml:space="preserve"> will continue to be aggressive in soliciting community input, articulating these in collaborative </w:t>
      </w:r>
      <w:r w:rsidR="00960F13" w:rsidRPr="004E520F">
        <w:rPr>
          <w:rFonts w:ascii="ArialMT" w:hAnsi="ArialMT" w:cs="ArialMT"/>
          <w:color w:val="0000FF"/>
        </w:rPr>
        <w:t xml:space="preserve">planning for </w:t>
      </w:r>
      <w:r w:rsidRPr="004E520F">
        <w:rPr>
          <w:rFonts w:ascii="ArialMT" w:hAnsi="ArialMT" w:cs="ArialMT"/>
          <w:color w:val="0000FF"/>
        </w:rPr>
        <w:t xml:space="preserve">these cross-disciplinary initiatives and in engaging </w:t>
      </w:r>
      <w:r w:rsidR="00960F13" w:rsidRPr="004E520F">
        <w:rPr>
          <w:rFonts w:ascii="ArialMT" w:hAnsi="ArialMT" w:cs="ArialMT"/>
          <w:color w:val="0000FF"/>
        </w:rPr>
        <w:t>relevant SEP</w:t>
      </w:r>
      <w:r w:rsidRPr="004E520F">
        <w:rPr>
          <w:rFonts w:ascii="ArialMT" w:hAnsi="ArialMT" w:cs="ArialMT"/>
          <w:color w:val="0000FF"/>
        </w:rPr>
        <w:t xml:space="preserve"> communities in t</w:t>
      </w:r>
      <w:r w:rsidR="00960F13" w:rsidRPr="004E520F">
        <w:rPr>
          <w:rFonts w:ascii="ArialMT" w:hAnsi="ArialMT" w:cs="ArialMT"/>
          <w:color w:val="0000FF"/>
        </w:rPr>
        <w:t xml:space="preserve">he proposal development process.  </w:t>
      </w:r>
    </w:p>
    <w:p w:rsidR="004F560D" w:rsidRPr="00CC1E31" w:rsidRDefault="005D51AD" w:rsidP="00CC1E31">
      <w:pPr>
        <w:spacing w:before="100" w:beforeAutospacing="1" w:after="100" w:afterAutospacing="1" w:line="276" w:lineRule="auto"/>
        <w:rPr>
          <w:rFonts w:ascii="ArialMT" w:hAnsi="ArialMT" w:cs="ArialMT"/>
          <w:color w:val="0000FF"/>
        </w:rPr>
      </w:pPr>
      <w:r>
        <w:rPr>
          <w:rFonts w:ascii="ArialMT" w:hAnsi="ArialMT" w:cs="ArialMT"/>
          <w:color w:val="0000FF"/>
        </w:rPr>
        <w:t xml:space="preserve">We thank </w:t>
      </w:r>
      <w:r w:rsidR="00960F13" w:rsidRPr="004E520F">
        <w:rPr>
          <w:rFonts w:ascii="ArialMT" w:hAnsi="ArialMT" w:cs="ArialMT"/>
          <w:color w:val="0000FF"/>
        </w:rPr>
        <w:t>the COV</w:t>
      </w:r>
      <w:r>
        <w:rPr>
          <w:rFonts w:ascii="ArialMT" w:hAnsi="ArialMT" w:cs="ArialMT"/>
          <w:color w:val="0000FF"/>
        </w:rPr>
        <w:t xml:space="preserve"> members again for their helpful comments and recommendations.</w:t>
      </w:r>
    </w:p>
    <w:sectPr w:rsidR="004F560D" w:rsidRPr="00CC1E31" w:rsidSect="008671C7">
      <w:type w:val="continuous"/>
      <w:pgSz w:w="12240" w:h="15840"/>
      <w:pgMar w:top="1440" w:right="1800" w:bottom="1152"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FC7" w:rsidRDefault="00AC6FC7">
      <w:r>
        <w:separator/>
      </w:r>
    </w:p>
  </w:endnote>
  <w:endnote w:type="continuationSeparator" w:id="0">
    <w:p w:rsidR="00AC6FC7" w:rsidRDefault="00AC6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C7" w:rsidRDefault="003750B7" w:rsidP="00AE483F">
    <w:pPr>
      <w:pStyle w:val="Footer"/>
      <w:framePr w:wrap="around" w:vAnchor="text" w:hAnchor="margin" w:xAlign="right" w:y="1"/>
      <w:rPr>
        <w:rStyle w:val="PageNumber"/>
        <w:sz w:val="22"/>
      </w:rPr>
    </w:pPr>
    <w:r>
      <w:rPr>
        <w:rStyle w:val="PageNumber"/>
      </w:rPr>
      <w:fldChar w:fldCharType="begin"/>
    </w:r>
    <w:r w:rsidR="00AC6FC7">
      <w:rPr>
        <w:rStyle w:val="PageNumber"/>
      </w:rPr>
      <w:instrText xml:space="preserve">PAGE  </w:instrText>
    </w:r>
    <w:r>
      <w:rPr>
        <w:rStyle w:val="PageNumber"/>
      </w:rPr>
      <w:fldChar w:fldCharType="end"/>
    </w:r>
  </w:p>
  <w:p w:rsidR="00AC6FC7" w:rsidRDefault="00AC6FC7" w:rsidP="00AE48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C7" w:rsidRPr="004A513A" w:rsidRDefault="003750B7" w:rsidP="00AE483F">
    <w:pPr>
      <w:pStyle w:val="Footer"/>
      <w:framePr w:wrap="around" w:vAnchor="text" w:hAnchor="page" w:x="10162" w:y="52"/>
      <w:rPr>
        <w:rStyle w:val="PageNumber"/>
        <w:sz w:val="22"/>
      </w:rPr>
    </w:pPr>
    <w:r w:rsidRPr="004A513A">
      <w:rPr>
        <w:rStyle w:val="PageNumber"/>
      </w:rPr>
      <w:fldChar w:fldCharType="begin"/>
    </w:r>
    <w:r w:rsidR="00AC6FC7" w:rsidRPr="004A513A">
      <w:rPr>
        <w:rStyle w:val="PageNumber"/>
        <w:rFonts w:ascii="Arial" w:hAnsi="Arial"/>
      </w:rPr>
      <w:instrText xml:space="preserve">PAGE  </w:instrText>
    </w:r>
    <w:r w:rsidRPr="004A513A">
      <w:rPr>
        <w:rStyle w:val="PageNumber"/>
      </w:rPr>
      <w:fldChar w:fldCharType="separate"/>
    </w:r>
    <w:r w:rsidR="001A0703">
      <w:rPr>
        <w:rStyle w:val="PageNumber"/>
        <w:rFonts w:ascii="Arial" w:hAnsi="Arial"/>
        <w:noProof/>
      </w:rPr>
      <w:t>7</w:t>
    </w:r>
    <w:r w:rsidRPr="004A513A">
      <w:rPr>
        <w:rStyle w:val="PageNumber"/>
      </w:rPr>
      <w:fldChar w:fldCharType="end"/>
    </w:r>
  </w:p>
  <w:p w:rsidR="00AC6FC7" w:rsidRDefault="00AC6FC7" w:rsidP="00AE48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FC7" w:rsidRDefault="00AC6FC7">
      <w:r>
        <w:separator/>
      </w:r>
    </w:p>
  </w:footnote>
  <w:footnote w:type="continuationSeparator" w:id="0">
    <w:p w:rsidR="00AC6FC7" w:rsidRDefault="00AC6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C7" w:rsidRDefault="00AC6FC7" w:rsidP="00AE483F">
    <w:pPr>
      <w:pStyle w:val="Header"/>
      <w:jc w:val="right"/>
      <w:rPr>
        <w:rFonts w:ascii="Arial" w:hAnsi="Arial"/>
        <w:sz w:val="20"/>
      </w:rPr>
    </w:pPr>
    <w:r w:rsidRPr="004A513A">
      <w:rPr>
        <w:rFonts w:ascii="Arial" w:hAnsi="Arial"/>
        <w:sz w:val="20"/>
      </w:rPr>
      <w:t>COV, SEP Section of EAR, 20</w:t>
    </w:r>
    <w:r>
      <w:rPr>
        <w:rFonts w:ascii="Arial" w:hAnsi="Arial"/>
        <w:sz w:val="20"/>
      </w:rPr>
      <w:t>11</w:t>
    </w:r>
  </w:p>
  <w:p w:rsidR="00AC6FC7" w:rsidRPr="004A513A" w:rsidRDefault="00AC6FC7" w:rsidP="00AE483F">
    <w:pPr>
      <w:pStyle w:val="Header"/>
      <w:jc w:val="right"/>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5EC3398"/>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962FD14"/>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5617CE6"/>
    <w:multiLevelType w:val="hybridMultilevel"/>
    <w:tmpl w:val="9094E25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75DB3"/>
    <w:multiLevelType w:val="hybridMultilevel"/>
    <w:tmpl w:val="7DAA47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A083C"/>
    <w:multiLevelType w:val="hybridMultilevel"/>
    <w:tmpl w:val="95C8BBB4"/>
    <w:lvl w:ilvl="0" w:tplc="04090001">
      <w:start w:val="1"/>
      <w:numFmt w:val="bullet"/>
      <w:lvlText w:val=""/>
      <w:lvlJc w:val="left"/>
      <w:pPr>
        <w:tabs>
          <w:tab w:val="num" w:pos="1443"/>
        </w:tabs>
        <w:ind w:left="1443" w:hanging="360"/>
      </w:pPr>
      <w:rPr>
        <w:rFonts w:ascii="Symbol" w:hAnsi="Symbol" w:hint="default"/>
      </w:rPr>
    </w:lvl>
    <w:lvl w:ilvl="1" w:tplc="04090003">
      <w:start w:val="1"/>
      <w:numFmt w:val="bullet"/>
      <w:lvlText w:val="o"/>
      <w:lvlJc w:val="left"/>
      <w:pPr>
        <w:tabs>
          <w:tab w:val="num" w:pos="2163"/>
        </w:tabs>
        <w:ind w:left="2163" w:hanging="360"/>
      </w:pPr>
      <w:rPr>
        <w:rFonts w:ascii="Courier New" w:hAnsi="Courier New" w:cs="Wingdings" w:hint="default"/>
      </w:rPr>
    </w:lvl>
    <w:lvl w:ilvl="2" w:tplc="04090005" w:tentative="1">
      <w:start w:val="1"/>
      <w:numFmt w:val="bullet"/>
      <w:lvlText w:val=""/>
      <w:lvlJc w:val="left"/>
      <w:pPr>
        <w:tabs>
          <w:tab w:val="num" w:pos="2883"/>
        </w:tabs>
        <w:ind w:left="2883" w:hanging="360"/>
      </w:pPr>
      <w:rPr>
        <w:rFonts w:ascii="Wingdings" w:hAnsi="Wingdings" w:hint="default"/>
      </w:rPr>
    </w:lvl>
    <w:lvl w:ilvl="3" w:tplc="04090001" w:tentative="1">
      <w:start w:val="1"/>
      <w:numFmt w:val="bullet"/>
      <w:lvlText w:val=""/>
      <w:lvlJc w:val="left"/>
      <w:pPr>
        <w:tabs>
          <w:tab w:val="num" w:pos="3603"/>
        </w:tabs>
        <w:ind w:left="3603" w:hanging="360"/>
      </w:pPr>
      <w:rPr>
        <w:rFonts w:ascii="Symbol" w:hAnsi="Symbol" w:hint="default"/>
      </w:rPr>
    </w:lvl>
    <w:lvl w:ilvl="4" w:tplc="04090003" w:tentative="1">
      <w:start w:val="1"/>
      <w:numFmt w:val="bullet"/>
      <w:lvlText w:val="o"/>
      <w:lvlJc w:val="left"/>
      <w:pPr>
        <w:tabs>
          <w:tab w:val="num" w:pos="4323"/>
        </w:tabs>
        <w:ind w:left="4323" w:hanging="360"/>
      </w:pPr>
      <w:rPr>
        <w:rFonts w:ascii="Courier New" w:hAnsi="Courier New" w:cs="Wingdings" w:hint="default"/>
      </w:rPr>
    </w:lvl>
    <w:lvl w:ilvl="5" w:tplc="04090005" w:tentative="1">
      <w:start w:val="1"/>
      <w:numFmt w:val="bullet"/>
      <w:lvlText w:val=""/>
      <w:lvlJc w:val="left"/>
      <w:pPr>
        <w:tabs>
          <w:tab w:val="num" w:pos="5043"/>
        </w:tabs>
        <w:ind w:left="5043" w:hanging="360"/>
      </w:pPr>
      <w:rPr>
        <w:rFonts w:ascii="Wingdings" w:hAnsi="Wingdings" w:hint="default"/>
      </w:rPr>
    </w:lvl>
    <w:lvl w:ilvl="6" w:tplc="04090001" w:tentative="1">
      <w:start w:val="1"/>
      <w:numFmt w:val="bullet"/>
      <w:lvlText w:val=""/>
      <w:lvlJc w:val="left"/>
      <w:pPr>
        <w:tabs>
          <w:tab w:val="num" w:pos="5763"/>
        </w:tabs>
        <w:ind w:left="5763" w:hanging="360"/>
      </w:pPr>
      <w:rPr>
        <w:rFonts w:ascii="Symbol" w:hAnsi="Symbol" w:hint="default"/>
      </w:rPr>
    </w:lvl>
    <w:lvl w:ilvl="7" w:tplc="04090003" w:tentative="1">
      <w:start w:val="1"/>
      <w:numFmt w:val="bullet"/>
      <w:lvlText w:val="o"/>
      <w:lvlJc w:val="left"/>
      <w:pPr>
        <w:tabs>
          <w:tab w:val="num" w:pos="6483"/>
        </w:tabs>
        <w:ind w:left="6483" w:hanging="360"/>
      </w:pPr>
      <w:rPr>
        <w:rFonts w:ascii="Courier New" w:hAnsi="Courier New" w:cs="Wingdings" w:hint="default"/>
      </w:rPr>
    </w:lvl>
    <w:lvl w:ilvl="8" w:tplc="04090005" w:tentative="1">
      <w:start w:val="1"/>
      <w:numFmt w:val="bullet"/>
      <w:lvlText w:val=""/>
      <w:lvlJc w:val="left"/>
      <w:pPr>
        <w:tabs>
          <w:tab w:val="num" w:pos="7203"/>
        </w:tabs>
        <w:ind w:left="7203" w:hanging="360"/>
      </w:pPr>
      <w:rPr>
        <w:rFonts w:ascii="Wingdings" w:hAnsi="Wingdings" w:hint="default"/>
      </w:rPr>
    </w:lvl>
  </w:abstractNum>
  <w:abstractNum w:abstractNumId="6">
    <w:nsid w:val="14F24B10"/>
    <w:multiLevelType w:val="hybridMultilevel"/>
    <w:tmpl w:val="DF1CF30E"/>
    <w:lvl w:ilvl="0" w:tplc="09600AF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F4774"/>
    <w:multiLevelType w:val="hybridMultilevel"/>
    <w:tmpl w:val="C9CAE406"/>
    <w:lvl w:ilvl="0" w:tplc="000F0409">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ACC43C2"/>
    <w:multiLevelType w:val="hybridMultilevel"/>
    <w:tmpl w:val="E806F1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936633"/>
    <w:multiLevelType w:val="hybridMultilevel"/>
    <w:tmpl w:val="009824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5F2294"/>
    <w:multiLevelType w:val="hybridMultilevel"/>
    <w:tmpl w:val="34E0FECC"/>
    <w:lvl w:ilvl="0" w:tplc="02F4B304">
      <w:start w:val="15"/>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E0977"/>
    <w:multiLevelType w:val="hybridMultilevel"/>
    <w:tmpl w:val="72FA858A"/>
    <w:lvl w:ilvl="0" w:tplc="8038620C">
      <w:start w:val="1"/>
      <w:numFmt w:val="bullet"/>
      <w:lvlText w:val="•"/>
      <w:lvlJc w:val="left"/>
      <w:pPr>
        <w:tabs>
          <w:tab w:val="num" w:pos="720"/>
        </w:tabs>
        <w:ind w:left="720" w:hanging="360"/>
      </w:pPr>
      <w:rPr>
        <w:rFonts w:ascii="Times New Roman" w:hAnsi="Times New Roman" w:hint="default"/>
      </w:rPr>
    </w:lvl>
    <w:lvl w:ilvl="1" w:tplc="BB123B88" w:tentative="1">
      <w:start w:val="1"/>
      <w:numFmt w:val="bullet"/>
      <w:lvlText w:val="•"/>
      <w:lvlJc w:val="left"/>
      <w:pPr>
        <w:tabs>
          <w:tab w:val="num" w:pos="1440"/>
        </w:tabs>
        <w:ind w:left="1440" w:hanging="360"/>
      </w:pPr>
      <w:rPr>
        <w:rFonts w:ascii="Times New Roman" w:hAnsi="Times New Roman" w:hint="default"/>
      </w:rPr>
    </w:lvl>
    <w:lvl w:ilvl="2" w:tplc="5FF6DB76" w:tentative="1">
      <w:start w:val="1"/>
      <w:numFmt w:val="bullet"/>
      <w:lvlText w:val="•"/>
      <w:lvlJc w:val="left"/>
      <w:pPr>
        <w:tabs>
          <w:tab w:val="num" w:pos="2160"/>
        </w:tabs>
        <w:ind w:left="2160" w:hanging="360"/>
      </w:pPr>
      <w:rPr>
        <w:rFonts w:ascii="Times New Roman" w:hAnsi="Times New Roman" w:hint="default"/>
      </w:rPr>
    </w:lvl>
    <w:lvl w:ilvl="3" w:tplc="E0780742" w:tentative="1">
      <w:start w:val="1"/>
      <w:numFmt w:val="bullet"/>
      <w:lvlText w:val="•"/>
      <w:lvlJc w:val="left"/>
      <w:pPr>
        <w:tabs>
          <w:tab w:val="num" w:pos="2880"/>
        </w:tabs>
        <w:ind w:left="2880" w:hanging="360"/>
      </w:pPr>
      <w:rPr>
        <w:rFonts w:ascii="Times New Roman" w:hAnsi="Times New Roman" w:hint="default"/>
      </w:rPr>
    </w:lvl>
    <w:lvl w:ilvl="4" w:tplc="AC688E84" w:tentative="1">
      <w:start w:val="1"/>
      <w:numFmt w:val="bullet"/>
      <w:lvlText w:val="•"/>
      <w:lvlJc w:val="left"/>
      <w:pPr>
        <w:tabs>
          <w:tab w:val="num" w:pos="3600"/>
        </w:tabs>
        <w:ind w:left="3600" w:hanging="360"/>
      </w:pPr>
      <w:rPr>
        <w:rFonts w:ascii="Times New Roman" w:hAnsi="Times New Roman" w:hint="default"/>
      </w:rPr>
    </w:lvl>
    <w:lvl w:ilvl="5" w:tplc="D0AE1E62" w:tentative="1">
      <w:start w:val="1"/>
      <w:numFmt w:val="bullet"/>
      <w:lvlText w:val="•"/>
      <w:lvlJc w:val="left"/>
      <w:pPr>
        <w:tabs>
          <w:tab w:val="num" w:pos="4320"/>
        </w:tabs>
        <w:ind w:left="4320" w:hanging="360"/>
      </w:pPr>
      <w:rPr>
        <w:rFonts w:ascii="Times New Roman" w:hAnsi="Times New Roman" w:hint="default"/>
      </w:rPr>
    </w:lvl>
    <w:lvl w:ilvl="6" w:tplc="0BCAB5AC" w:tentative="1">
      <w:start w:val="1"/>
      <w:numFmt w:val="bullet"/>
      <w:lvlText w:val="•"/>
      <w:lvlJc w:val="left"/>
      <w:pPr>
        <w:tabs>
          <w:tab w:val="num" w:pos="5040"/>
        </w:tabs>
        <w:ind w:left="5040" w:hanging="360"/>
      </w:pPr>
      <w:rPr>
        <w:rFonts w:ascii="Times New Roman" w:hAnsi="Times New Roman" w:hint="default"/>
      </w:rPr>
    </w:lvl>
    <w:lvl w:ilvl="7" w:tplc="1904FAD6" w:tentative="1">
      <w:start w:val="1"/>
      <w:numFmt w:val="bullet"/>
      <w:lvlText w:val="•"/>
      <w:lvlJc w:val="left"/>
      <w:pPr>
        <w:tabs>
          <w:tab w:val="num" w:pos="5760"/>
        </w:tabs>
        <w:ind w:left="5760" w:hanging="360"/>
      </w:pPr>
      <w:rPr>
        <w:rFonts w:ascii="Times New Roman" w:hAnsi="Times New Roman" w:hint="default"/>
      </w:rPr>
    </w:lvl>
    <w:lvl w:ilvl="8" w:tplc="A3081BC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517207"/>
    <w:multiLevelType w:val="multilevel"/>
    <w:tmpl w:val="7DAA470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C66FBD"/>
    <w:multiLevelType w:val="hybridMultilevel"/>
    <w:tmpl w:val="54687FE0"/>
    <w:lvl w:ilvl="0" w:tplc="06CAF2BA">
      <w:start w:val="11"/>
      <w:numFmt w:val="decimal"/>
      <w:lvlText w:val="(%1)"/>
      <w:lvlJc w:val="left"/>
      <w:pPr>
        <w:ind w:left="660" w:hanging="39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56365A2"/>
    <w:multiLevelType w:val="hybridMultilevel"/>
    <w:tmpl w:val="6CC8BC78"/>
    <w:lvl w:ilvl="0" w:tplc="DF4AC7E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349D2"/>
    <w:multiLevelType w:val="hybridMultilevel"/>
    <w:tmpl w:val="BF688C20"/>
    <w:lvl w:ilvl="0" w:tplc="D034FE34">
      <w:start w:val="13"/>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E0A65"/>
    <w:multiLevelType w:val="hybridMultilevel"/>
    <w:tmpl w:val="95C29A4A"/>
    <w:lvl w:ilvl="0" w:tplc="000F0409">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B6439AA"/>
    <w:multiLevelType w:val="hybridMultilevel"/>
    <w:tmpl w:val="F976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B251BD"/>
    <w:multiLevelType w:val="hybridMultilevel"/>
    <w:tmpl w:val="F33E1690"/>
    <w:lvl w:ilvl="0" w:tplc="D4C63C98">
      <w:start w:val="1"/>
      <w:numFmt w:val="bullet"/>
      <w:lvlText w:val="•"/>
      <w:lvlJc w:val="left"/>
      <w:pPr>
        <w:tabs>
          <w:tab w:val="num" w:pos="720"/>
        </w:tabs>
        <w:ind w:left="720" w:hanging="360"/>
      </w:pPr>
      <w:rPr>
        <w:rFonts w:ascii="Times New Roman" w:hAnsi="Times New Roman" w:hint="default"/>
      </w:rPr>
    </w:lvl>
    <w:lvl w:ilvl="1" w:tplc="0DACD5F6" w:tentative="1">
      <w:start w:val="1"/>
      <w:numFmt w:val="bullet"/>
      <w:lvlText w:val="•"/>
      <w:lvlJc w:val="left"/>
      <w:pPr>
        <w:tabs>
          <w:tab w:val="num" w:pos="1440"/>
        </w:tabs>
        <w:ind w:left="1440" w:hanging="360"/>
      </w:pPr>
      <w:rPr>
        <w:rFonts w:ascii="Times New Roman" w:hAnsi="Times New Roman" w:hint="default"/>
      </w:rPr>
    </w:lvl>
    <w:lvl w:ilvl="2" w:tplc="F328E436" w:tentative="1">
      <w:start w:val="1"/>
      <w:numFmt w:val="bullet"/>
      <w:lvlText w:val="•"/>
      <w:lvlJc w:val="left"/>
      <w:pPr>
        <w:tabs>
          <w:tab w:val="num" w:pos="2160"/>
        </w:tabs>
        <w:ind w:left="2160" w:hanging="360"/>
      </w:pPr>
      <w:rPr>
        <w:rFonts w:ascii="Times New Roman" w:hAnsi="Times New Roman" w:hint="default"/>
      </w:rPr>
    </w:lvl>
    <w:lvl w:ilvl="3" w:tplc="A98AA042" w:tentative="1">
      <w:start w:val="1"/>
      <w:numFmt w:val="bullet"/>
      <w:lvlText w:val="•"/>
      <w:lvlJc w:val="left"/>
      <w:pPr>
        <w:tabs>
          <w:tab w:val="num" w:pos="2880"/>
        </w:tabs>
        <w:ind w:left="2880" w:hanging="360"/>
      </w:pPr>
      <w:rPr>
        <w:rFonts w:ascii="Times New Roman" w:hAnsi="Times New Roman" w:hint="default"/>
      </w:rPr>
    </w:lvl>
    <w:lvl w:ilvl="4" w:tplc="AB600108" w:tentative="1">
      <w:start w:val="1"/>
      <w:numFmt w:val="bullet"/>
      <w:lvlText w:val="•"/>
      <w:lvlJc w:val="left"/>
      <w:pPr>
        <w:tabs>
          <w:tab w:val="num" w:pos="3600"/>
        </w:tabs>
        <w:ind w:left="3600" w:hanging="360"/>
      </w:pPr>
      <w:rPr>
        <w:rFonts w:ascii="Times New Roman" w:hAnsi="Times New Roman" w:hint="default"/>
      </w:rPr>
    </w:lvl>
    <w:lvl w:ilvl="5" w:tplc="0FAEEFF6" w:tentative="1">
      <w:start w:val="1"/>
      <w:numFmt w:val="bullet"/>
      <w:lvlText w:val="•"/>
      <w:lvlJc w:val="left"/>
      <w:pPr>
        <w:tabs>
          <w:tab w:val="num" w:pos="4320"/>
        </w:tabs>
        <w:ind w:left="4320" w:hanging="360"/>
      </w:pPr>
      <w:rPr>
        <w:rFonts w:ascii="Times New Roman" w:hAnsi="Times New Roman" w:hint="default"/>
      </w:rPr>
    </w:lvl>
    <w:lvl w:ilvl="6" w:tplc="54F24090" w:tentative="1">
      <w:start w:val="1"/>
      <w:numFmt w:val="bullet"/>
      <w:lvlText w:val="•"/>
      <w:lvlJc w:val="left"/>
      <w:pPr>
        <w:tabs>
          <w:tab w:val="num" w:pos="5040"/>
        </w:tabs>
        <w:ind w:left="5040" w:hanging="360"/>
      </w:pPr>
      <w:rPr>
        <w:rFonts w:ascii="Times New Roman" w:hAnsi="Times New Roman" w:hint="default"/>
      </w:rPr>
    </w:lvl>
    <w:lvl w:ilvl="7" w:tplc="576ACEA6" w:tentative="1">
      <w:start w:val="1"/>
      <w:numFmt w:val="bullet"/>
      <w:lvlText w:val="•"/>
      <w:lvlJc w:val="left"/>
      <w:pPr>
        <w:tabs>
          <w:tab w:val="num" w:pos="5760"/>
        </w:tabs>
        <w:ind w:left="5760" w:hanging="360"/>
      </w:pPr>
      <w:rPr>
        <w:rFonts w:ascii="Times New Roman" w:hAnsi="Times New Roman" w:hint="default"/>
      </w:rPr>
    </w:lvl>
    <w:lvl w:ilvl="8" w:tplc="7054DA9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0D97D0F"/>
    <w:multiLevelType w:val="hybridMultilevel"/>
    <w:tmpl w:val="E77063E4"/>
    <w:lvl w:ilvl="0" w:tplc="24A4EB4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0EC6B75"/>
    <w:multiLevelType w:val="hybridMultilevel"/>
    <w:tmpl w:val="BB2AD9EC"/>
    <w:lvl w:ilvl="0" w:tplc="C5B0706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42EC0EB5"/>
    <w:multiLevelType w:val="hybridMultilevel"/>
    <w:tmpl w:val="B024CE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3D573CC"/>
    <w:multiLevelType w:val="hybridMultilevel"/>
    <w:tmpl w:val="047C71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AC2026"/>
    <w:multiLevelType w:val="hybridMultilevel"/>
    <w:tmpl w:val="F3769B7A"/>
    <w:lvl w:ilvl="0" w:tplc="3E7C8F8A">
      <w:start w:val="1"/>
      <w:numFmt w:val="bullet"/>
      <w:lvlText w:val="•"/>
      <w:lvlJc w:val="left"/>
      <w:pPr>
        <w:tabs>
          <w:tab w:val="num" w:pos="720"/>
        </w:tabs>
        <w:ind w:left="720" w:hanging="360"/>
      </w:pPr>
      <w:rPr>
        <w:rFonts w:ascii="Times New Roman" w:hAnsi="Times New Roman" w:hint="default"/>
      </w:rPr>
    </w:lvl>
    <w:lvl w:ilvl="1" w:tplc="05A8526E" w:tentative="1">
      <w:start w:val="1"/>
      <w:numFmt w:val="bullet"/>
      <w:lvlText w:val="•"/>
      <w:lvlJc w:val="left"/>
      <w:pPr>
        <w:tabs>
          <w:tab w:val="num" w:pos="1440"/>
        </w:tabs>
        <w:ind w:left="1440" w:hanging="360"/>
      </w:pPr>
      <w:rPr>
        <w:rFonts w:ascii="Times New Roman" w:hAnsi="Times New Roman" w:hint="default"/>
      </w:rPr>
    </w:lvl>
    <w:lvl w:ilvl="2" w:tplc="BABE9AB8" w:tentative="1">
      <w:start w:val="1"/>
      <w:numFmt w:val="bullet"/>
      <w:lvlText w:val="•"/>
      <w:lvlJc w:val="left"/>
      <w:pPr>
        <w:tabs>
          <w:tab w:val="num" w:pos="2160"/>
        </w:tabs>
        <w:ind w:left="2160" w:hanging="360"/>
      </w:pPr>
      <w:rPr>
        <w:rFonts w:ascii="Times New Roman" w:hAnsi="Times New Roman" w:hint="default"/>
      </w:rPr>
    </w:lvl>
    <w:lvl w:ilvl="3" w:tplc="3012A668" w:tentative="1">
      <w:start w:val="1"/>
      <w:numFmt w:val="bullet"/>
      <w:lvlText w:val="•"/>
      <w:lvlJc w:val="left"/>
      <w:pPr>
        <w:tabs>
          <w:tab w:val="num" w:pos="2880"/>
        </w:tabs>
        <w:ind w:left="2880" w:hanging="360"/>
      </w:pPr>
      <w:rPr>
        <w:rFonts w:ascii="Times New Roman" w:hAnsi="Times New Roman" w:hint="default"/>
      </w:rPr>
    </w:lvl>
    <w:lvl w:ilvl="4" w:tplc="6F8CB42A" w:tentative="1">
      <w:start w:val="1"/>
      <w:numFmt w:val="bullet"/>
      <w:lvlText w:val="•"/>
      <w:lvlJc w:val="left"/>
      <w:pPr>
        <w:tabs>
          <w:tab w:val="num" w:pos="3600"/>
        </w:tabs>
        <w:ind w:left="3600" w:hanging="360"/>
      </w:pPr>
      <w:rPr>
        <w:rFonts w:ascii="Times New Roman" w:hAnsi="Times New Roman" w:hint="default"/>
      </w:rPr>
    </w:lvl>
    <w:lvl w:ilvl="5" w:tplc="3AE2503A" w:tentative="1">
      <w:start w:val="1"/>
      <w:numFmt w:val="bullet"/>
      <w:lvlText w:val="•"/>
      <w:lvlJc w:val="left"/>
      <w:pPr>
        <w:tabs>
          <w:tab w:val="num" w:pos="4320"/>
        </w:tabs>
        <w:ind w:left="4320" w:hanging="360"/>
      </w:pPr>
      <w:rPr>
        <w:rFonts w:ascii="Times New Roman" w:hAnsi="Times New Roman" w:hint="default"/>
      </w:rPr>
    </w:lvl>
    <w:lvl w:ilvl="6" w:tplc="4964E818" w:tentative="1">
      <w:start w:val="1"/>
      <w:numFmt w:val="bullet"/>
      <w:lvlText w:val="•"/>
      <w:lvlJc w:val="left"/>
      <w:pPr>
        <w:tabs>
          <w:tab w:val="num" w:pos="5040"/>
        </w:tabs>
        <w:ind w:left="5040" w:hanging="360"/>
      </w:pPr>
      <w:rPr>
        <w:rFonts w:ascii="Times New Roman" w:hAnsi="Times New Roman" w:hint="default"/>
      </w:rPr>
    </w:lvl>
    <w:lvl w:ilvl="7" w:tplc="9E7A37C2" w:tentative="1">
      <w:start w:val="1"/>
      <w:numFmt w:val="bullet"/>
      <w:lvlText w:val="•"/>
      <w:lvlJc w:val="left"/>
      <w:pPr>
        <w:tabs>
          <w:tab w:val="num" w:pos="5760"/>
        </w:tabs>
        <w:ind w:left="5760" w:hanging="360"/>
      </w:pPr>
      <w:rPr>
        <w:rFonts w:ascii="Times New Roman" w:hAnsi="Times New Roman" w:hint="default"/>
      </w:rPr>
    </w:lvl>
    <w:lvl w:ilvl="8" w:tplc="8AF44DA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E504F3"/>
    <w:multiLevelType w:val="hybridMultilevel"/>
    <w:tmpl w:val="24D6A262"/>
    <w:lvl w:ilvl="0" w:tplc="04090001">
      <w:start w:val="1"/>
      <w:numFmt w:val="bullet"/>
      <w:lvlText w:val=""/>
      <w:lvlJc w:val="left"/>
      <w:pPr>
        <w:tabs>
          <w:tab w:val="num" w:pos="1803"/>
        </w:tabs>
        <w:ind w:left="1803" w:hanging="360"/>
      </w:pPr>
      <w:rPr>
        <w:rFonts w:ascii="Symbol" w:hAnsi="Symbol" w:hint="default"/>
      </w:rPr>
    </w:lvl>
    <w:lvl w:ilvl="1" w:tplc="04090003" w:tentative="1">
      <w:start w:val="1"/>
      <w:numFmt w:val="bullet"/>
      <w:lvlText w:val="o"/>
      <w:lvlJc w:val="left"/>
      <w:pPr>
        <w:tabs>
          <w:tab w:val="num" w:pos="2523"/>
        </w:tabs>
        <w:ind w:left="2523" w:hanging="360"/>
      </w:pPr>
      <w:rPr>
        <w:rFonts w:ascii="Courier New" w:hAnsi="Courier New" w:cs="Wingdings" w:hint="default"/>
      </w:rPr>
    </w:lvl>
    <w:lvl w:ilvl="2" w:tplc="04090005" w:tentative="1">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Wingdings"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Wingdings"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25">
    <w:nsid w:val="4F2B7C7E"/>
    <w:multiLevelType w:val="hybridMultilevel"/>
    <w:tmpl w:val="B0762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196EE7"/>
    <w:multiLevelType w:val="hybridMultilevel"/>
    <w:tmpl w:val="AC62B73A"/>
    <w:lvl w:ilvl="0" w:tplc="996C527E">
      <w:start w:val="1"/>
      <w:numFmt w:val="bullet"/>
      <w:lvlText w:val="•"/>
      <w:lvlJc w:val="left"/>
      <w:pPr>
        <w:tabs>
          <w:tab w:val="num" w:pos="720"/>
        </w:tabs>
        <w:ind w:left="720" w:hanging="360"/>
      </w:pPr>
      <w:rPr>
        <w:rFonts w:ascii="Times New Roman" w:hAnsi="Times New Roman" w:hint="default"/>
      </w:rPr>
    </w:lvl>
    <w:lvl w:ilvl="1" w:tplc="42FC0A72" w:tentative="1">
      <w:start w:val="1"/>
      <w:numFmt w:val="bullet"/>
      <w:lvlText w:val="•"/>
      <w:lvlJc w:val="left"/>
      <w:pPr>
        <w:tabs>
          <w:tab w:val="num" w:pos="1440"/>
        </w:tabs>
        <w:ind w:left="1440" w:hanging="360"/>
      </w:pPr>
      <w:rPr>
        <w:rFonts w:ascii="Times New Roman" w:hAnsi="Times New Roman" w:hint="default"/>
      </w:rPr>
    </w:lvl>
    <w:lvl w:ilvl="2" w:tplc="1BCA8D08" w:tentative="1">
      <w:start w:val="1"/>
      <w:numFmt w:val="bullet"/>
      <w:lvlText w:val="•"/>
      <w:lvlJc w:val="left"/>
      <w:pPr>
        <w:tabs>
          <w:tab w:val="num" w:pos="2160"/>
        </w:tabs>
        <w:ind w:left="2160" w:hanging="360"/>
      </w:pPr>
      <w:rPr>
        <w:rFonts w:ascii="Times New Roman" w:hAnsi="Times New Roman" w:hint="default"/>
      </w:rPr>
    </w:lvl>
    <w:lvl w:ilvl="3" w:tplc="0EFC403A" w:tentative="1">
      <w:start w:val="1"/>
      <w:numFmt w:val="bullet"/>
      <w:lvlText w:val="•"/>
      <w:lvlJc w:val="left"/>
      <w:pPr>
        <w:tabs>
          <w:tab w:val="num" w:pos="2880"/>
        </w:tabs>
        <w:ind w:left="2880" w:hanging="360"/>
      </w:pPr>
      <w:rPr>
        <w:rFonts w:ascii="Times New Roman" w:hAnsi="Times New Roman" w:hint="default"/>
      </w:rPr>
    </w:lvl>
    <w:lvl w:ilvl="4" w:tplc="5FA84DF2" w:tentative="1">
      <w:start w:val="1"/>
      <w:numFmt w:val="bullet"/>
      <w:lvlText w:val="•"/>
      <w:lvlJc w:val="left"/>
      <w:pPr>
        <w:tabs>
          <w:tab w:val="num" w:pos="3600"/>
        </w:tabs>
        <w:ind w:left="3600" w:hanging="360"/>
      </w:pPr>
      <w:rPr>
        <w:rFonts w:ascii="Times New Roman" w:hAnsi="Times New Roman" w:hint="default"/>
      </w:rPr>
    </w:lvl>
    <w:lvl w:ilvl="5" w:tplc="CF8E242C" w:tentative="1">
      <w:start w:val="1"/>
      <w:numFmt w:val="bullet"/>
      <w:lvlText w:val="•"/>
      <w:lvlJc w:val="left"/>
      <w:pPr>
        <w:tabs>
          <w:tab w:val="num" w:pos="4320"/>
        </w:tabs>
        <w:ind w:left="4320" w:hanging="360"/>
      </w:pPr>
      <w:rPr>
        <w:rFonts w:ascii="Times New Roman" w:hAnsi="Times New Roman" w:hint="default"/>
      </w:rPr>
    </w:lvl>
    <w:lvl w:ilvl="6" w:tplc="F360448E" w:tentative="1">
      <w:start w:val="1"/>
      <w:numFmt w:val="bullet"/>
      <w:lvlText w:val="•"/>
      <w:lvlJc w:val="left"/>
      <w:pPr>
        <w:tabs>
          <w:tab w:val="num" w:pos="5040"/>
        </w:tabs>
        <w:ind w:left="5040" w:hanging="360"/>
      </w:pPr>
      <w:rPr>
        <w:rFonts w:ascii="Times New Roman" w:hAnsi="Times New Roman" w:hint="default"/>
      </w:rPr>
    </w:lvl>
    <w:lvl w:ilvl="7" w:tplc="85E4EBDC" w:tentative="1">
      <w:start w:val="1"/>
      <w:numFmt w:val="bullet"/>
      <w:lvlText w:val="•"/>
      <w:lvlJc w:val="left"/>
      <w:pPr>
        <w:tabs>
          <w:tab w:val="num" w:pos="5760"/>
        </w:tabs>
        <w:ind w:left="5760" w:hanging="360"/>
      </w:pPr>
      <w:rPr>
        <w:rFonts w:ascii="Times New Roman" w:hAnsi="Times New Roman" w:hint="default"/>
      </w:rPr>
    </w:lvl>
    <w:lvl w:ilvl="8" w:tplc="02909E6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2FF5101"/>
    <w:multiLevelType w:val="hybridMultilevel"/>
    <w:tmpl w:val="95602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301D4B"/>
    <w:multiLevelType w:val="hybridMultilevel"/>
    <w:tmpl w:val="8EEC89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6206CE"/>
    <w:multiLevelType w:val="hybridMultilevel"/>
    <w:tmpl w:val="58E81AF6"/>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5B603624"/>
    <w:multiLevelType w:val="hybridMultilevel"/>
    <w:tmpl w:val="DE2E188C"/>
    <w:lvl w:ilvl="0" w:tplc="D182FB1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B6066A"/>
    <w:multiLevelType w:val="hybridMultilevel"/>
    <w:tmpl w:val="FDDA5436"/>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09D26E1"/>
    <w:multiLevelType w:val="hybridMultilevel"/>
    <w:tmpl w:val="62B647DA"/>
    <w:lvl w:ilvl="0" w:tplc="04090001">
      <w:start w:val="1"/>
      <w:numFmt w:val="bullet"/>
      <w:lvlText w:val=""/>
      <w:lvlJc w:val="left"/>
      <w:pPr>
        <w:tabs>
          <w:tab w:val="num" w:pos="1443"/>
        </w:tabs>
        <w:ind w:left="1443" w:hanging="360"/>
      </w:pPr>
      <w:rPr>
        <w:rFonts w:ascii="Symbol" w:hAnsi="Symbol" w:hint="default"/>
      </w:rPr>
    </w:lvl>
    <w:lvl w:ilvl="1" w:tplc="04090003">
      <w:start w:val="1"/>
      <w:numFmt w:val="bullet"/>
      <w:lvlText w:val="o"/>
      <w:lvlJc w:val="left"/>
      <w:pPr>
        <w:tabs>
          <w:tab w:val="num" w:pos="2163"/>
        </w:tabs>
        <w:ind w:left="2163" w:hanging="360"/>
      </w:pPr>
      <w:rPr>
        <w:rFonts w:ascii="Courier New" w:hAnsi="Courier New" w:cs="Wingdings" w:hint="default"/>
      </w:rPr>
    </w:lvl>
    <w:lvl w:ilvl="2" w:tplc="04090005" w:tentative="1">
      <w:start w:val="1"/>
      <w:numFmt w:val="bullet"/>
      <w:lvlText w:val=""/>
      <w:lvlJc w:val="left"/>
      <w:pPr>
        <w:tabs>
          <w:tab w:val="num" w:pos="2883"/>
        </w:tabs>
        <w:ind w:left="2883" w:hanging="360"/>
      </w:pPr>
      <w:rPr>
        <w:rFonts w:ascii="Wingdings" w:hAnsi="Wingdings" w:hint="default"/>
      </w:rPr>
    </w:lvl>
    <w:lvl w:ilvl="3" w:tplc="04090001" w:tentative="1">
      <w:start w:val="1"/>
      <w:numFmt w:val="bullet"/>
      <w:lvlText w:val=""/>
      <w:lvlJc w:val="left"/>
      <w:pPr>
        <w:tabs>
          <w:tab w:val="num" w:pos="3603"/>
        </w:tabs>
        <w:ind w:left="3603" w:hanging="360"/>
      </w:pPr>
      <w:rPr>
        <w:rFonts w:ascii="Symbol" w:hAnsi="Symbol" w:hint="default"/>
      </w:rPr>
    </w:lvl>
    <w:lvl w:ilvl="4" w:tplc="04090003" w:tentative="1">
      <w:start w:val="1"/>
      <w:numFmt w:val="bullet"/>
      <w:lvlText w:val="o"/>
      <w:lvlJc w:val="left"/>
      <w:pPr>
        <w:tabs>
          <w:tab w:val="num" w:pos="4323"/>
        </w:tabs>
        <w:ind w:left="4323" w:hanging="360"/>
      </w:pPr>
      <w:rPr>
        <w:rFonts w:ascii="Courier New" w:hAnsi="Courier New" w:cs="Wingdings" w:hint="default"/>
      </w:rPr>
    </w:lvl>
    <w:lvl w:ilvl="5" w:tplc="04090005" w:tentative="1">
      <w:start w:val="1"/>
      <w:numFmt w:val="bullet"/>
      <w:lvlText w:val=""/>
      <w:lvlJc w:val="left"/>
      <w:pPr>
        <w:tabs>
          <w:tab w:val="num" w:pos="5043"/>
        </w:tabs>
        <w:ind w:left="5043" w:hanging="360"/>
      </w:pPr>
      <w:rPr>
        <w:rFonts w:ascii="Wingdings" w:hAnsi="Wingdings" w:hint="default"/>
      </w:rPr>
    </w:lvl>
    <w:lvl w:ilvl="6" w:tplc="04090001" w:tentative="1">
      <w:start w:val="1"/>
      <w:numFmt w:val="bullet"/>
      <w:lvlText w:val=""/>
      <w:lvlJc w:val="left"/>
      <w:pPr>
        <w:tabs>
          <w:tab w:val="num" w:pos="5763"/>
        </w:tabs>
        <w:ind w:left="5763" w:hanging="360"/>
      </w:pPr>
      <w:rPr>
        <w:rFonts w:ascii="Symbol" w:hAnsi="Symbol" w:hint="default"/>
      </w:rPr>
    </w:lvl>
    <w:lvl w:ilvl="7" w:tplc="04090003" w:tentative="1">
      <w:start w:val="1"/>
      <w:numFmt w:val="bullet"/>
      <w:lvlText w:val="o"/>
      <w:lvlJc w:val="left"/>
      <w:pPr>
        <w:tabs>
          <w:tab w:val="num" w:pos="6483"/>
        </w:tabs>
        <w:ind w:left="6483" w:hanging="360"/>
      </w:pPr>
      <w:rPr>
        <w:rFonts w:ascii="Courier New" w:hAnsi="Courier New" w:cs="Wingdings" w:hint="default"/>
      </w:rPr>
    </w:lvl>
    <w:lvl w:ilvl="8" w:tplc="04090005" w:tentative="1">
      <w:start w:val="1"/>
      <w:numFmt w:val="bullet"/>
      <w:lvlText w:val=""/>
      <w:lvlJc w:val="left"/>
      <w:pPr>
        <w:tabs>
          <w:tab w:val="num" w:pos="7203"/>
        </w:tabs>
        <w:ind w:left="7203" w:hanging="360"/>
      </w:pPr>
      <w:rPr>
        <w:rFonts w:ascii="Wingdings" w:hAnsi="Wingdings" w:hint="default"/>
      </w:rPr>
    </w:lvl>
  </w:abstractNum>
  <w:abstractNum w:abstractNumId="33">
    <w:nsid w:val="61E975D4"/>
    <w:multiLevelType w:val="hybridMultilevel"/>
    <w:tmpl w:val="460A7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7018E2"/>
    <w:multiLevelType w:val="hybridMultilevel"/>
    <w:tmpl w:val="9AF2C370"/>
    <w:lvl w:ilvl="0" w:tplc="1390B7FA">
      <w:start w:val="1"/>
      <w:numFmt w:val="bullet"/>
      <w:lvlText w:val="•"/>
      <w:lvlJc w:val="left"/>
      <w:pPr>
        <w:tabs>
          <w:tab w:val="num" w:pos="720"/>
        </w:tabs>
        <w:ind w:left="720" w:hanging="360"/>
      </w:pPr>
      <w:rPr>
        <w:rFonts w:ascii="Arial" w:hAnsi="Arial" w:hint="default"/>
      </w:rPr>
    </w:lvl>
    <w:lvl w:ilvl="1" w:tplc="92F4136A" w:tentative="1">
      <w:start w:val="1"/>
      <w:numFmt w:val="bullet"/>
      <w:lvlText w:val="•"/>
      <w:lvlJc w:val="left"/>
      <w:pPr>
        <w:tabs>
          <w:tab w:val="num" w:pos="1440"/>
        </w:tabs>
        <w:ind w:left="1440" w:hanging="360"/>
      </w:pPr>
      <w:rPr>
        <w:rFonts w:ascii="Arial" w:hAnsi="Arial" w:hint="default"/>
      </w:rPr>
    </w:lvl>
    <w:lvl w:ilvl="2" w:tplc="0774267E" w:tentative="1">
      <w:start w:val="1"/>
      <w:numFmt w:val="bullet"/>
      <w:lvlText w:val="•"/>
      <w:lvlJc w:val="left"/>
      <w:pPr>
        <w:tabs>
          <w:tab w:val="num" w:pos="2160"/>
        </w:tabs>
        <w:ind w:left="2160" w:hanging="360"/>
      </w:pPr>
      <w:rPr>
        <w:rFonts w:ascii="Arial" w:hAnsi="Arial" w:hint="default"/>
      </w:rPr>
    </w:lvl>
    <w:lvl w:ilvl="3" w:tplc="0D6A0806" w:tentative="1">
      <w:start w:val="1"/>
      <w:numFmt w:val="bullet"/>
      <w:lvlText w:val="•"/>
      <w:lvlJc w:val="left"/>
      <w:pPr>
        <w:tabs>
          <w:tab w:val="num" w:pos="2880"/>
        </w:tabs>
        <w:ind w:left="2880" w:hanging="360"/>
      </w:pPr>
      <w:rPr>
        <w:rFonts w:ascii="Arial" w:hAnsi="Arial" w:hint="default"/>
      </w:rPr>
    </w:lvl>
    <w:lvl w:ilvl="4" w:tplc="3DEE3094" w:tentative="1">
      <w:start w:val="1"/>
      <w:numFmt w:val="bullet"/>
      <w:lvlText w:val="•"/>
      <w:lvlJc w:val="left"/>
      <w:pPr>
        <w:tabs>
          <w:tab w:val="num" w:pos="3600"/>
        </w:tabs>
        <w:ind w:left="3600" w:hanging="360"/>
      </w:pPr>
      <w:rPr>
        <w:rFonts w:ascii="Arial" w:hAnsi="Arial" w:hint="default"/>
      </w:rPr>
    </w:lvl>
    <w:lvl w:ilvl="5" w:tplc="1FDEF9C6" w:tentative="1">
      <w:start w:val="1"/>
      <w:numFmt w:val="bullet"/>
      <w:lvlText w:val="•"/>
      <w:lvlJc w:val="left"/>
      <w:pPr>
        <w:tabs>
          <w:tab w:val="num" w:pos="4320"/>
        </w:tabs>
        <w:ind w:left="4320" w:hanging="360"/>
      </w:pPr>
      <w:rPr>
        <w:rFonts w:ascii="Arial" w:hAnsi="Arial" w:hint="default"/>
      </w:rPr>
    </w:lvl>
    <w:lvl w:ilvl="6" w:tplc="E92CF996" w:tentative="1">
      <w:start w:val="1"/>
      <w:numFmt w:val="bullet"/>
      <w:lvlText w:val="•"/>
      <w:lvlJc w:val="left"/>
      <w:pPr>
        <w:tabs>
          <w:tab w:val="num" w:pos="5040"/>
        </w:tabs>
        <w:ind w:left="5040" w:hanging="360"/>
      </w:pPr>
      <w:rPr>
        <w:rFonts w:ascii="Arial" w:hAnsi="Arial" w:hint="default"/>
      </w:rPr>
    </w:lvl>
    <w:lvl w:ilvl="7" w:tplc="71D46152" w:tentative="1">
      <w:start w:val="1"/>
      <w:numFmt w:val="bullet"/>
      <w:lvlText w:val="•"/>
      <w:lvlJc w:val="left"/>
      <w:pPr>
        <w:tabs>
          <w:tab w:val="num" w:pos="5760"/>
        </w:tabs>
        <w:ind w:left="5760" w:hanging="360"/>
      </w:pPr>
      <w:rPr>
        <w:rFonts w:ascii="Arial" w:hAnsi="Arial" w:hint="default"/>
      </w:rPr>
    </w:lvl>
    <w:lvl w:ilvl="8" w:tplc="FDA4384A" w:tentative="1">
      <w:start w:val="1"/>
      <w:numFmt w:val="bullet"/>
      <w:lvlText w:val="•"/>
      <w:lvlJc w:val="left"/>
      <w:pPr>
        <w:tabs>
          <w:tab w:val="num" w:pos="6480"/>
        </w:tabs>
        <w:ind w:left="6480" w:hanging="360"/>
      </w:pPr>
      <w:rPr>
        <w:rFonts w:ascii="Arial" w:hAnsi="Arial" w:hint="default"/>
      </w:rPr>
    </w:lvl>
  </w:abstractNum>
  <w:abstractNum w:abstractNumId="35">
    <w:nsid w:val="66701B62"/>
    <w:multiLevelType w:val="hybridMultilevel"/>
    <w:tmpl w:val="C17C6978"/>
    <w:lvl w:ilvl="0" w:tplc="DC16B574">
      <w:start w:val="1"/>
      <w:numFmt w:val="lowerRoman"/>
      <w:lvlText w:val="%1)"/>
      <w:lvlJc w:val="left"/>
      <w:pPr>
        <w:tabs>
          <w:tab w:val="num" w:pos="1440"/>
        </w:tabs>
        <w:ind w:left="1440" w:hanging="360"/>
      </w:pPr>
      <w:rPr>
        <w:rFonts w:ascii="Arial" w:eastAsia="Times New Roman" w:hAnsi="Arial" w:cs="Wingdings"/>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8D87961"/>
    <w:multiLevelType w:val="hybridMultilevel"/>
    <w:tmpl w:val="35C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0241B9"/>
    <w:multiLevelType w:val="hybridMultilevel"/>
    <w:tmpl w:val="87E0FF8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B94583D"/>
    <w:multiLevelType w:val="multilevel"/>
    <w:tmpl w:val="567648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0B815E1"/>
    <w:multiLevelType w:val="hybridMultilevel"/>
    <w:tmpl w:val="1EC84B98"/>
    <w:lvl w:ilvl="0" w:tplc="2D86B4BC">
      <w:start w:val="14"/>
      <w:numFmt w:val="decimal"/>
      <w:lvlText w:val="(%1)"/>
      <w:lvlJc w:val="left"/>
      <w:pPr>
        <w:ind w:left="390" w:hanging="39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6024CC"/>
    <w:multiLevelType w:val="multilevel"/>
    <w:tmpl w:val="9094E25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0F0720"/>
    <w:multiLevelType w:val="hybridMultilevel"/>
    <w:tmpl w:val="EDE40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F62CE3"/>
    <w:multiLevelType w:val="hybridMultilevel"/>
    <w:tmpl w:val="78A4BA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7EF849C3"/>
    <w:multiLevelType w:val="singleLevel"/>
    <w:tmpl w:val="28C2EBF6"/>
    <w:lvl w:ilvl="0">
      <w:numFmt w:val="bullet"/>
      <w:lvlText w:val="-"/>
      <w:lvlJc w:val="left"/>
      <w:pPr>
        <w:tabs>
          <w:tab w:val="num" w:pos="4515"/>
        </w:tabs>
        <w:ind w:left="4515" w:hanging="360"/>
      </w:pPr>
      <w:rPr>
        <w:rFonts w:hint="default"/>
      </w:rPr>
    </w:lvl>
  </w:abstractNum>
  <w:num w:numId="1">
    <w:abstractNumId w:val="43"/>
  </w:num>
  <w:num w:numId="2">
    <w:abstractNumId w:val="1"/>
  </w:num>
  <w:num w:numId="3">
    <w:abstractNumId w:val="0"/>
  </w:num>
  <w:num w:numId="4">
    <w:abstractNumId w:val="36"/>
  </w:num>
  <w:num w:numId="5">
    <w:abstractNumId w:val="17"/>
  </w:num>
  <w:num w:numId="6">
    <w:abstractNumId w:val="41"/>
  </w:num>
  <w:num w:numId="7">
    <w:abstractNumId w:val="25"/>
  </w:num>
  <w:num w:numId="8">
    <w:abstractNumId w:val="38"/>
  </w:num>
  <w:num w:numId="9">
    <w:abstractNumId w:val="4"/>
  </w:num>
  <w:num w:numId="10">
    <w:abstractNumId w:val="8"/>
  </w:num>
  <w:num w:numId="11">
    <w:abstractNumId w:val="3"/>
  </w:num>
  <w:num w:numId="12">
    <w:abstractNumId w:val="40"/>
  </w:num>
  <w:num w:numId="13">
    <w:abstractNumId w:val="28"/>
  </w:num>
  <w:num w:numId="14">
    <w:abstractNumId w:val="22"/>
  </w:num>
  <w:num w:numId="15">
    <w:abstractNumId w:val="12"/>
  </w:num>
  <w:num w:numId="16">
    <w:abstractNumId w:val="29"/>
  </w:num>
  <w:num w:numId="17">
    <w:abstractNumId w:val="27"/>
  </w:num>
  <w:num w:numId="18">
    <w:abstractNumId w:val="33"/>
  </w:num>
  <w:num w:numId="19">
    <w:abstractNumId w:val="19"/>
  </w:num>
  <w:num w:numId="20">
    <w:abstractNumId w:val="31"/>
  </w:num>
  <w:num w:numId="21">
    <w:abstractNumId w:val="5"/>
  </w:num>
  <w:num w:numId="22">
    <w:abstractNumId w:val="24"/>
  </w:num>
  <w:num w:numId="23">
    <w:abstractNumId w:val="9"/>
  </w:num>
  <w:num w:numId="24">
    <w:abstractNumId w:val="32"/>
  </w:num>
  <w:num w:numId="25">
    <w:abstractNumId w:val="42"/>
  </w:num>
  <w:num w:numId="26">
    <w:abstractNumId w:val="35"/>
  </w:num>
  <w:num w:numId="27">
    <w:abstractNumId w:val="7"/>
  </w:num>
  <w:num w:numId="28">
    <w:abstractNumId w:val="16"/>
  </w:num>
  <w:num w:numId="29">
    <w:abstractNumId w:val="37"/>
  </w:num>
  <w:num w:numId="30">
    <w:abstractNumId w:val="30"/>
  </w:num>
  <w:num w:numId="31">
    <w:abstractNumId w:val="21"/>
  </w:num>
  <w:num w:numId="32">
    <w:abstractNumId w:val="2"/>
  </w:num>
  <w:num w:numId="33">
    <w:abstractNumId w:val="14"/>
  </w:num>
  <w:num w:numId="34">
    <w:abstractNumId w:val="6"/>
  </w:num>
  <w:num w:numId="35">
    <w:abstractNumId w:val="13"/>
  </w:num>
  <w:num w:numId="36">
    <w:abstractNumId w:val="39"/>
  </w:num>
  <w:num w:numId="37">
    <w:abstractNumId w:val="10"/>
  </w:num>
  <w:num w:numId="38">
    <w:abstractNumId w:val="15"/>
  </w:num>
  <w:num w:numId="39">
    <w:abstractNumId w:val="18"/>
  </w:num>
  <w:num w:numId="40">
    <w:abstractNumId w:val="34"/>
  </w:num>
  <w:num w:numId="41">
    <w:abstractNumId w:val="23"/>
  </w:num>
  <w:num w:numId="42">
    <w:abstractNumId w:val="26"/>
  </w:num>
  <w:num w:numId="43">
    <w:abstractNumId w:val="11"/>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fr-FR" w:vendorID="65" w:dllVersion="514" w:checkStyle="1"/>
  <w:activeWritingStyle w:appName="MSWord" w:lang="en-US" w:vendorID="6" w:dllVersion="2" w:checkStyle="1"/>
  <w:proofState w:spelling="clean" w:grammar="clean"/>
  <w:stylePaneFormatFilter w:val="0000"/>
  <w:mailMerge>
    <w:mainDocumentType w:val="formLetters"/>
    <w:dataType w:val="textFile"/>
    <w:activeRecord w:val="-1"/>
  </w:mailMerge>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287A"/>
    <w:rsid w:val="00000A5E"/>
    <w:rsid w:val="00001A62"/>
    <w:rsid w:val="00010321"/>
    <w:rsid w:val="00010A99"/>
    <w:rsid w:val="000121E9"/>
    <w:rsid w:val="000145A8"/>
    <w:rsid w:val="00014DE2"/>
    <w:rsid w:val="00023AA1"/>
    <w:rsid w:val="00023D4A"/>
    <w:rsid w:val="00026CB4"/>
    <w:rsid w:val="000346E9"/>
    <w:rsid w:val="000378DD"/>
    <w:rsid w:val="00042434"/>
    <w:rsid w:val="00042545"/>
    <w:rsid w:val="00042CFB"/>
    <w:rsid w:val="00044781"/>
    <w:rsid w:val="000447B6"/>
    <w:rsid w:val="000572F8"/>
    <w:rsid w:val="00060590"/>
    <w:rsid w:val="000605CB"/>
    <w:rsid w:val="00061CF1"/>
    <w:rsid w:val="000664C3"/>
    <w:rsid w:val="000672CD"/>
    <w:rsid w:val="00067631"/>
    <w:rsid w:val="00086D29"/>
    <w:rsid w:val="00087A2F"/>
    <w:rsid w:val="000925A2"/>
    <w:rsid w:val="0009279F"/>
    <w:rsid w:val="00093A3E"/>
    <w:rsid w:val="000943A4"/>
    <w:rsid w:val="00094CF1"/>
    <w:rsid w:val="00094E83"/>
    <w:rsid w:val="000972A0"/>
    <w:rsid w:val="00097E2C"/>
    <w:rsid w:val="000A01DB"/>
    <w:rsid w:val="000A19F0"/>
    <w:rsid w:val="000A2F61"/>
    <w:rsid w:val="000A43C0"/>
    <w:rsid w:val="000B2A24"/>
    <w:rsid w:val="000B5C69"/>
    <w:rsid w:val="000B5E5A"/>
    <w:rsid w:val="000C0406"/>
    <w:rsid w:val="000C0B16"/>
    <w:rsid w:val="000C0CDB"/>
    <w:rsid w:val="000C163D"/>
    <w:rsid w:val="000C24DA"/>
    <w:rsid w:val="000C471B"/>
    <w:rsid w:val="000D2B4E"/>
    <w:rsid w:val="000E42B3"/>
    <w:rsid w:val="000E6680"/>
    <w:rsid w:val="000F0439"/>
    <w:rsid w:val="000F1E51"/>
    <w:rsid w:val="00114CC1"/>
    <w:rsid w:val="00116C1A"/>
    <w:rsid w:val="00122BD1"/>
    <w:rsid w:val="0012586A"/>
    <w:rsid w:val="00127CC4"/>
    <w:rsid w:val="00130F68"/>
    <w:rsid w:val="00133954"/>
    <w:rsid w:val="00137143"/>
    <w:rsid w:val="001404AB"/>
    <w:rsid w:val="00141653"/>
    <w:rsid w:val="00141B41"/>
    <w:rsid w:val="00141BB8"/>
    <w:rsid w:val="0014690C"/>
    <w:rsid w:val="001469FD"/>
    <w:rsid w:val="00147F30"/>
    <w:rsid w:val="00151367"/>
    <w:rsid w:val="0015534D"/>
    <w:rsid w:val="00155A56"/>
    <w:rsid w:val="0017247C"/>
    <w:rsid w:val="00174F20"/>
    <w:rsid w:val="00181F76"/>
    <w:rsid w:val="00185DD3"/>
    <w:rsid w:val="00186AE7"/>
    <w:rsid w:val="001879FD"/>
    <w:rsid w:val="00190048"/>
    <w:rsid w:val="00191265"/>
    <w:rsid w:val="00192201"/>
    <w:rsid w:val="001940B9"/>
    <w:rsid w:val="001978B0"/>
    <w:rsid w:val="001A0703"/>
    <w:rsid w:val="001A1A9D"/>
    <w:rsid w:val="001A22B4"/>
    <w:rsid w:val="001A6087"/>
    <w:rsid w:val="001A7A47"/>
    <w:rsid w:val="001B487F"/>
    <w:rsid w:val="001D5B1E"/>
    <w:rsid w:val="001D7548"/>
    <w:rsid w:val="001D7F0A"/>
    <w:rsid w:val="001E3ECD"/>
    <w:rsid w:val="001F1C96"/>
    <w:rsid w:val="001F50B2"/>
    <w:rsid w:val="001F5A95"/>
    <w:rsid w:val="0020176E"/>
    <w:rsid w:val="00202397"/>
    <w:rsid w:val="00202C8F"/>
    <w:rsid w:val="002140F5"/>
    <w:rsid w:val="0021413F"/>
    <w:rsid w:val="00215242"/>
    <w:rsid w:val="00217685"/>
    <w:rsid w:val="00222688"/>
    <w:rsid w:val="00230694"/>
    <w:rsid w:val="00230AFC"/>
    <w:rsid w:val="00236D3B"/>
    <w:rsid w:val="002418B6"/>
    <w:rsid w:val="00242199"/>
    <w:rsid w:val="0024278C"/>
    <w:rsid w:val="00242F6D"/>
    <w:rsid w:val="0024564D"/>
    <w:rsid w:val="002467EC"/>
    <w:rsid w:val="00251530"/>
    <w:rsid w:val="0025287A"/>
    <w:rsid w:val="0025430D"/>
    <w:rsid w:val="00254B3E"/>
    <w:rsid w:val="00271494"/>
    <w:rsid w:val="00272567"/>
    <w:rsid w:val="00275EC1"/>
    <w:rsid w:val="002900A3"/>
    <w:rsid w:val="00294411"/>
    <w:rsid w:val="002978B9"/>
    <w:rsid w:val="002A1B82"/>
    <w:rsid w:val="002A2EF4"/>
    <w:rsid w:val="002A4A6D"/>
    <w:rsid w:val="002A5760"/>
    <w:rsid w:val="002B0BDE"/>
    <w:rsid w:val="002C1985"/>
    <w:rsid w:val="002C7C47"/>
    <w:rsid w:val="002D0EE3"/>
    <w:rsid w:val="002D117E"/>
    <w:rsid w:val="002F1F40"/>
    <w:rsid w:val="0030151B"/>
    <w:rsid w:val="0030570B"/>
    <w:rsid w:val="00310889"/>
    <w:rsid w:val="00312ED4"/>
    <w:rsid w:val="003159BE"/>
    <w:rsid w:val="00316B36"/>
    <w:rsid w:val="00316FAD"/>
    <w:rsid w:val="00323CC2"/>
    <w:rsid w:val="00326A0D"/>
    <w:rsid w:val="00330025"/>
    <w:rsid w:val="00331BF7"/>
    <w:rsid w:val="00336D87"/>
    <w:rsid w:val="00337D05"/>
    <w:rsid w:val="0034054B"/>
    <w:rsid w:val="003408F0"/>
    <w:rsid w:val="00343BF0"/>
    <w:rsid w:val="00346C8C"/>
    <w:rsid w:val="003520B4"/>
    <w:rsid w:val="00372E3D"/>
    <w:rsid w:val="003732AD"/>
    <w:rsid w:val="0037439C"/>
    <w:rsid w:val="00374730"/>
    <w:rsid w:val="003750B7"/>
    <w:rsid w:val="003757EA"/>
    <w:rsid w:val="00375A83"/>
    <w:rsid w:val="00383287"/>
    <w:rsid w:val="0038376E"/>
    <w:rsid w:val="00384186"/>
    <w:rsid w:val="00384815"/>
    <w:rsid w:val="003854A0"/>
    <w:rsid w:val="00386667"/>
    <w:rsid w:val="00390D23"/>
    <w:rsid w:val="003A27D8"/>
    <w:rsid w:val="003A2FF5"/>
    <w:rsid w:val="003A3F76"/>
    <w:rsid w:val="003A3FDE"/>
    <w:rsid w:val="003B4503"/>
    <w:rsid w:val="003B66EE"/>
    <w:rsid w:val="003C1DE7"/>
    <w:rsid w:val="003C3562"/>
    <w:rsid w:val="003E0E71"/>
    <w:rsid w:val="003F5873"/>
    <w:rsid w:val="00400072"/>
    <w:rsid w:val="004001AC"/>
    <w:rsid w:val="00402B9A"/>
    <w:rsid w:val="0040654C"/>
    <w:rsid w:val="004065F2"/>
    <w:rsid w:val="00411E73"/>
    <w:rsid w:val="0043746D"/>
    <w:rsid w:val="004410CC"/>
    <w:rsid w:val="00453F3B"/>
    <w:rsid w:val="0045449C"/>
    <w:rsid w:val="00454823"/>
    <w:rsid w:val="00466179"/>
    <w:rsid w:val="004709AA"/>
    <w:rsid w:val="00470F03"/>
    <w:rsid w:val="00480B2E"/>
    <w:rsid w:val="00484771"/>
    <w:rsid w:val="004866D3"/>
    <w:rsid w:val="00491785"/>
    <w:rsid w:val="004940C3"/>
    <w:rsid w:val="00496AC4"/>
    <w:rsid w:val="004A32D0"/>
    <w:rsid w:val="004A4FBF"/>
    <w:rsid w:val="004A547C"/>
    <w:rsid w:val="004A572C"/>
    <w:rsid w:val="004A5D09"/>
    <w:rsid w:val="004C018C"/>
    <w:rsid w:val="004C0FAA"/>
    <w:rsid w:val="004C3547"/>
    <w:rsid w:val="004C56F6"/>
    <w:rsid w:val="004D5AAF"/>
    <w:rsid w:val="004D669E"/>
    <w:rsid w:val="004D7CB2"/>
    <w:rsid w:val="004E0F93"/>
    <w:rsid w:val="004E29D3"/>
    <w:rsid w:val="004E520F"/>
    <w:rsid w:val="004F560D"/>
    <w:rsid w:val="005042E5"/>
    <w:rsid w:val="00510003"/>
    <w:rsid w:val="00524FF9"/>
    <w:rsid w:val="00531289"/>
    <w:rsid w:val="00537C1C"/>
    <w:rsid w:val="00541ECE"/>
    <w:rsid w:val="00545491"/>
    <w:rsid w:val="0054752C"/>
    <w:rsid w:val="00554C95"/>
    <w:rsid w:val="0056329C"/>
    <w:rsid w:val="00565FCC"/>
    <w:rsid w:val="00571245"/>
    <w:rsid w:val="0058494B"/>
    <w:rsid w:val="0059493B"/>
    <w:rsid w:val="005956C5"/>
    <w:rsid w:val="00595A3C"/>
    <w:rsid w:val="005A3390"/>
    <w:rsid w:val="005A5E49"/>
    <w:rsid w:val="005A7C3E"/>
    <w:rsid w:val="005B1139"/>
    <w:rsid w:val="005B16CF"/>
    <w:rsid w:val="005B43EB"/>
    <w:rsid w:val="005B5E00"/>
    <w:rsid w:val="005C4C93"/>
    <w:rsid w:val="005D12D3"/>
    <w:rsid w:val="005D35F1"/>
    <w:rsid w:val="005D51AD"/>
    <w:rsid w:val="005E5401"/>
    <w:rsid w:val="005F7049"/>
    <w:rsid w:val="005F7CA3"/>
    <w:rsid w:val="00600006"/>
    <w:rsid w:val="00606EEB"/>
    <w:rsid w:val="006107FF"/>
    <w:rsid w:val="006171BA"/>
    <w:rsid w:val="006203CD"/>
    <w:rsid w:val="0062294A"/>
    <w:rsid w:val="0062351C"/>
    <w:rsid w:val="00626C44"/>
    <w:rsid w:val="00630F9A"/>
    <w:rsid w:val="006321CA"/>
    <w:rsid w:val="00643720"/>
    <w:rsid w:val="00646115"/>
    <w:rsid w:val="006535A0"/>
    <w:rsid w:val="00654094"/>
    <w:rsid w:val="00664FBB"/>
    <w:rsid w:val="006703C1"/>
    <w:rsid w:val="00671E4C"/>
    <w:rsid w:val="0067475F"/>
    <w:rsid w:val="00682325"/>
    <w:rsid w:val="00683F1A"/>
    <w:rsid w:val="0068652F"/>
    <w:rsid w:val="006905BF"/>
    <w:rsid w:val="00691929"/>
    <w:rsid w:val="00691BB4"/>
    <w:rsid w:val="006925EE"/>
    <w:rsid w:val="00694824"/>
    <w:rsid w:val="00694FF7"/>
    <w:rsid w:val="006964AB"/>
    <w:rsid w:val="006A24E5"/>
    <w:rsid w:val="006A3268"/>
    <w:rsid w:val="006B158B"/>
    <w:rsid w:val="006B3381"/>
    <w:rsid w:val="006B40B6"/>
    <w:rsid w:val="006B7006"/>
    <w:rsid w:val="006C0701"/>
    <w:rsid w:val="006C195F"/>
    <w:rsid w:val="006C58B3"/>
    <w:rsid w:val="006C5DD8"/>
    <w:rsid w:val="006C7CBC"/>
    <w:rsid w:val="006D2E4F"/>
    <w:rsid w:val="006D6238"/>
    <w:rsid w:val="006D695E"/>
    <w:rsid w:val="006E01FF"/>
    <w:rsid w:val="006E1BC8"/>
    <w:rsid w:val="006F1FF2"/>
    <w:rsid w:val="006F6BF6"/>
    <w:rsid w:val="00707800"/>
    <w:rsid w:val="0071130E"/>
    <w:rsid w:val="00713292"/>
    <w:rsid w:val="00713794"/>
    <w:rsid w:val="00714F77"/>
    <w:rsid w:val="007155BA"/>
    <w:rsid w:val="007237A3"/>
    <w:rsid w:val="007339B8"/>
    <w:rsid w:val="00756C0D"/>
    <w:rsid w:val="0076032E"/>
    <w:rsid w:val="0076545C"/>
    <w:rsid w:val="00770FEE"/>
    <w:rsid w:val="007712B3"/>
    <w:rsid w:val="007733E4"/>
    <w:rsid w:val="007734F5"/>
    <w:rsid w:val="0078122F"/>
    <w:rsid w:val="007812DA"/>
    <w:rsid w:val="00781B22"/>
    <w:rsid w:val="00783A76"/>
    <w:rsid w:val="0078754E"/>
    <w:rsid w:val="00794B23"/>
    <w:rsid w:val="0079697D"/>
    <w:rsid w:val="007B2670"/>
    <w:rsid w:val="007B431A"/>
    <w:rsid w:val="007C14C2"/>
    <w:rsid w:val="007C14EA"/>
    <w:rsid w:val="007C21E5"/>
    <w:rsid w:val="007C2B43"/>
    <w:rsid w:val="007C618F"/>
    <w:rsid w:val="007C7382"/>
    <w:rsid w:val="007D1AC3"/>
    <w:rsid w:val="007D5D56"/>
    <w:rsid w:val="007E7B2E"/>
    <w:rsid w:val="00812166"/>
    <w:rsid w:val="00823E32"/>
    <w:rsid w:val="008338BD"/>
    <w:rsid w:val="0083419B"/>
    <w:rsid w:val="0083678B"/>
    <w:rsid w:val="0084417D"/>
    <w:rsid w:val="008443B4"/>
    <w:rsid w:val="00844F2B"/>
    <w:rsid w:val="0084543F"/>
    <w:rsid w:val="008455FE"/>
    <w:rsid w:val="00845CAA"/>
    <w:rsid w:val="00846C39"/>
    <w:rsid w:val="008507B6"/>
    <w:rsid w:val="00861643"/>
    <w:rsid w:val="008623FC"/>
    <w:rsid w:val="008671C7"/>
    <w:rsid w:val="00872B9E"/>
    <w:rsid w:val="00872F56"/>
    <w:rsid w:val="008750D9"/>
    <w:rsid w:val="00875596"/>
    <w:rsid w:val="0087574E"/>
    <w:rsid w:val="00880F90"/>
    <w:rsid w:val="00884DA9"/>
    <w:rsid w:val="0088517E"/>
    <w:rsid w:val="008851DD"/>
    <w:rsid w:val="0089069C"/>
    <w:rsid w:val="008A340B"/>
    <w:rsid w:val="008A35AA"/>
    <w:rsid w:val="008A44E4"/>
    <w:rsid w:val="008C4FB2"/>
    <w:rsid w:val="008C70C9"/>
    <w:rsid w:val="008C7260"/>
    <w:rsid w:val="008D361E"/>
    <w:rsid w:val="008D73C0"/>
    <w:rsid w:val="008D7A45"/>
    <w:rsid w:val="008D7C25"/>
    <w:rsid w:val="008E1FE5"/>
    <w:rsid w:val="008E36A7"/>
    <w:rsid w:val="008E3AF8"/>
    <w:rsid w:val="008F64C3"/>
    <w:rsid w:val="0090023E"/>
    <w:rsid w:val="009010C4"/>
    <w:rsid w:val="00906597"/>
    <w:rsid w:val="00907D9E"/>
    <w:rsid w:val="009100AF"/>
    <w:rsid w:val="009105F1"/>
    <w:rsid w:val="00922339"/>
    <w:rsid w:val="00935374"/>
    <w:rsid w:val="00940B71"/>
    <w:rsid w:val="00941051"/>
    <w:rsid w:val="00942F50"/>
    <w:rsid w:val="009503E6"/>
    <w:rsid w:val="00950DAF"/>
    <w:rsid w:val="009513EE"/>
    <w:rsid w:val="00960F13"/>
    <w:rsid w:val="00964259"/>
    <w:rsid w:val="009649CB"/>
    <w:rsid w:val="009671A1"/>
    <w:rsid w:val="00967BE8"/>
    <w:rsid w:val="009769EA"/>
    <w:rsid w:val="00976F16"/>
    <w:rsid w:val="00982D1D"/>
    <w:rsid w:val="00987E52"/>
    <w:rsid w:val="009909F3"/>
    <w:rsid w:val="00992FE2"/>
    <w:rsid w:val="00994E6E"/>
    <w:rsid w:val="00996E09"/>
    <w:rsid w:val="00997F03"/>
    <w:rsid w:val="009A098E"/>
    <w:rsid w:val="009A2472"/>
    <w:rsid w:val="009A288E"/>
    <w:rsid w:val="009B0E92"/>
    <w:rsid w:val="009B44EB"/>
    <w:rsid w:val="009B5407"/>
    <w:rsid w:val="009B69D9"/>
    <w:rsid w:val="009C1F44"/>
    <w:rsid w:val="009C7A3E"/>
    <w:rsid w:val="009D31F7"/>
    <w:rsid w:val="009D7A2A"/>
    <w:rsid w:val="009E1F71"/>
    <w:rsid w:val="009F3547"/>
    <w:rsid w:val="009F3727"/>
    <w:rsid w:val="009F3D04"/>
    <w:rsid w:val="009F724A"/>
    <w:rsid w:val="00A0120C"/>
    <w:rsid w:val="00A02084"/>
    <w:rsid w:val="00A12973"/>
    <w:rsid w:val="00A13C02"/>
    <w:rsid w:val="00A144BA"/>
    <w:rsid w:val="00A26720"/>
    <w:rsid w:val="00A27209"/>
    <w:rsid w:val="00A34A56"/>
    <w:rsid w:val="00A46CE6"/>
    <w:rsid w:val="00A5376A"/>
    <w:rsid w:val="00A56C8D"/>
    <w:rsid w:val="00A61C7F"/>
    <w:rsid w:val="00A83DB7"/>
    <w:rsid w:val="00A870D0"/>
    <w:rsid w:val="00A919AD"/>
    <w:rsid w:val="00AA5ADF"/>
    <w:rsid w:val="00AA621E"/>
    <w:rsid w:val="00AA6C3C"/>
    <w:rsid w:val="00AB1AE7"/>
    <w:rsid w:val="00AB7CEF"/>
    <w:rsid w:val="00AC30FE"/>
    <w:rsid w:val="00AC6FC7"/>
    <w:rsid w:val="00AD110A"/>
    <w:rsid w:val="00AE21EB"/>
    <w:rsid w:val="00AE26D9"/>
    <w:rsid w:val="00AE483F"/>
    <w:rsid w:val="00AE7065"/>
    <w:rsid w:val="00AF352A"/>
    <w:rsid w:val="00B03341"/>
    <w:rsid w:val="00B0615E"/>
    <w:rsid w:val="00B06CD0"/>
    <w:rsid w:val="00B25C55"/>
    <w:rsid w:val="00B307A0"/>
    <w:rsid w:val="00B31F71"/>
    <w:rsid w:val="00B41DB7"/>
    <w:rsid w:val="00B42AFE"/>
    <w:rsid w:val="00B44E00"/>
    <w:rsid w:val="00B62DFA"/>
    <w:rsid w:val="00B63504"/>
    <w:rsid w:val="00B6702A"/>
    <w:rsid w:val="00B67666"/>
    <w:rsid w:val="00B70A69"/>
    <w:rsid w:val="00B711E4"/>
    <w:rsid w:val="00B742AC"/>
    <w:rsid w:val="00B75B28"/>
    <w:rsid w:val="00B75C7F"/>
    <w:rsid w:val="00B82567"/>
    <w:rsid w:val="00B94C50"/>
    <w:rsid w:val="00BA0321"/>
    <w:rsid w:val="00BA69CC"/>
    <w:rsid w:val="00BB55E9"/>
    <w:rsid w:val="00BB7148"/>
    <w:rsid w:val="00BC11D1"/>
    <w:rsid w:val="00BC494F"/>
    <w:rsid w:val="00BC5A18"/>
    <w:rsid w:val="00BC687D"/>
    <w:rsid w:val="00BD126F"/>
    <w:rsid w:val="00BD15FF"/>
    <w:rsid w:val="00BD4513"/>
    <w:rsid w:val="00BD676E"/>
    <w:rsid w:val="00BE056C"/>
    <w:rsid w:val="00BE300A"/>
    <w:rsid w:val="00BE36FB"/>
    <w:rsid w:val="00BE4336"/>
    <w:rsid w:val="00BE7DB8"/>
    <w:rsid w:val="00BF2D42"/>
    <w:rsid w:val="00BF48E4"/>
    <w:rsid w:val="00C00CA0"/>
    <w:rsid w:val="00C049DC"/>
    <w:rsid w:val="00C0616D"/>
    <w:rsid w:val="00C10925"/>
    <w:rsid w:val="00C1317D"/>
    <w:rsid w:val="00C14791"/>
    <w:rsid w:val="00C14D44"/>
    <w:rsid w:val="00C23392"/>
    <w:rsid w:val="00C32BDA"/>
    <w:rsid w:val="00C445B2"/>
    <w:rsid w:val="00C51AF8"/>
    <w:rsid w:val="00C53345"/>
    <w:rsid w:val="00C56DD2"/>
    <w:rsid w:val="00C614FD"/>
    <w:rsid w:val="00C63A82"/>
    <w:rsid w:val="00C74253"/>
    <w:rsid w:val="00C80887"/>
    <w:rsid w:val="00C901CC"/>
    <w:rsid w:val="00CA0FBA"/>
    <w:rsid w:val="00CA2906"/>
    <w:rsid w:val="00CA4601"/>
    <w:rsid w:val="00CB37FF"/>
    <w:rsid w:val="00CB73E3"/>
    <w:rsid w:val="00CC0D8D"/>
    <w:rsid w:val="00CC1E31"/>
    <w:rsid w:val="00CC4E40"/>
    <w:rsid w:val="00CD3F22"/>
    <w:rsid w:val="00CF105A"/>
    <w:rsid w:val="00CF4B2D"/>
    <w:rsid w:val="00CF7B78"/>
    <w:rsid w:val="00D0142C"/>
    <w:rsid w:val="00D018F4"/>
    <w:rsid w:val="00D01E64"/>
    <w:rsid w:val="00D07A40"/>
    <w:rsid w:val="00D1458F"/>
    <w:rsid w:val="00D216B1"/>
    <w:rsid w:val="00D23727"/>
    <w:rsid w:val="00D24261"/>
    <w:rsid w:val="00D317B9"/>
    <w:rsid w:val="00D446F9"/>
    <w:rsid w:val="00D457CB"/>
    <w:rsid w:val="00D4769F"/>
    <w:rsid w:val="00D5027F"/>
    <w:rsid w:val="00D529F3"/>
    <w:rsid w:val="00D60D99"/>
    <w:rsid w:val="00D6534E"/>
    <w:rsid w:val="00D7350C"/>
    <w:rsid w:val="00D77B7C"/>
    <w:rsid w:val="00D818F1"/>
    <w:rsid w:val="00D823F2"/>
    <w:rsid w:val="00D826F7"/>
    <w:rsid w:val="00D82B82"/>
    <w:rsid w:val="00D83A7A"/>
    <w:rsid w:val="00D83FDB"/>
    <w:rsid w:val="00D92D26"/>
    <w:rsid w:val="00DA10C3"/>
    <w:rsid w:val="00DA667C"/>
    <w:rsid w:val="00DB5E30"/>
    <w:rsid w:val="00DC13A7"/>
    <w:rsid w:val="00DC3C07"/>
    <w:rsid w:val="00DC563B"/>
    <w:rsid w:val="00DC6DCD"/>
    <w:rsid w:val="00DD62D9"/>
    <w:rsid w:val="00DD773D"/>
    <w:rsid w:val="00DE1780"/>
    <w:rsid w:val="00DE691A"/>
    <w:rsid w:val="00DF117D"/>
    <w:rsid w:val="00DF26BC"/>
    <w:rsid w:val="00DF6180"/>
    <w:rsid w:val="00E05403"/>
    <w:rsid w:val="00E0702F"/>
    <w:rsid w:val="00E1594F"/>
    <w:rsid w:val="00E15D0E"/>
    <w:rsid w:val="00E1760E"/>
    <w:rsid w:val="00E224BD"/>
    <w:rsid w:val="00E2420C"/>
    <w:rsid w:val="00E27821"/>
    <w:rsid w:val="00E40EBF"/>
    <w:rsid w:val="00E42171"/>
    <w:rsid w:val="00E430A7"/>
    <w:rsid w:val="00E443C2"/>
    <w:rsid w:val="00E44DC0"/>
    <w:rsid w:val="00E47E3B"/>
    <w:rsid w:val="00E52EE6"/>
    <w:rsid w:val="00E62189"/>
    <w:rsid w:val="00E6614A"/>
    <w:rsid w:val="00E70106"/>
    <w:rsid w:val="00E7343A"/>
    <w:rsid w:val="00E75886"/>
    <w:rsid w:val="00E76253"/>
    <w:rsid w:val="00E94371"/>
    <w:rsid w:val="00E95BAA"/>
    <w:rsid w:val="00E974E9"/>
    <w:rsid w:val="00EB1C59"/>
    <w:rsid w:val="00EB2B29"/>
    <w:rsid w:val="00EB641F"/>
    <w:rsid w:val="00EB6AA6"/>
    <w:rsid w:val="00EC7089"/>
    <w:rsid w:val="00ED2291"/>
    <w:rsid w:val="00ED356C"/>
    <w:rsid w:val="00ED684F"/>
    <w:rsid w:val="00EE1547"/>
    <w:rsid w:val="00EE3F3F"/>
    <w:rsid w:val="00EE4405"/>
    <w:rsid w:val="00EE4B3B"/>
    <w:rsid w:val="00EE7D50"/>
    <w:rsid w:val="00EF2707"/>
    <w:rsid w:val="00EF40B7"/>
    <w:rsid w:val="00EF6E2D"/>
    <w:rsid w:val="00F04AA8"/>
    <w:rsid w:val="00F07A8E"/>
    <w:rsid w:val="00F11C60"/>
    <w:rsid w:val="00F11E67"/>
    <w:rsid w:val="00F135C1"/>
    <w:rsid w:val="00F2374D"/>
    <w:rsid w:val="00F32F91"/>
    <w:rsid w:val="00F3533E"/>
    <w:rsid w:val="00F46EBD"/>
    <w:rsid w:val="00F5043B"/>
    <w:rsid w:val="00F51ACE"/>
    <w:rsid w:val="00F56857"/>
    <w:rsid w:val="00F613E3"/>
    <w:rsid w:val="00F63192"/>
    <w:rsid w:val="00F64AB1"/>
    <w:rsid w:val="00F7496E"/>
    <w:rsid w:val="00F83E12"/>
    <w:rsid w:val="00F85C51"/>
    <w:rsid w:val="00F871DC"/>
    <w:rsid w:val="00F91476"/>
    <w:rsid w:val="00F9539B"/>
    <w:rsid w:val="00FA3A29"/>
    <w:rsid w:val="00FA540D"/>
    <w:rsid w:val="00FA6368"/>
    <w:rsid w:val="00FB7B67"/>
    <w:rsid w:val="00FC0212"/>
    <w:rsid w:val="00FC31FE"/>
    <w:rsid w:val="00FC5C18"/>
    <w:rsid w:val="00FC672B"/>
    <w:rsid w:val="00FD19CE"/>
    <w:rsid w:val="00FD4F85"/>
    <w:rsid w:val="00FD7FE9"/>
    <w:rsid w:val="00FE1238"/>
    <w:rsid w:val="00FE4098"/>
    <w:rsid w:val="00FE59FF"/>
    <w:rsid w:val="00FE5CFF"/>
    <w:rsid w:val="00FE67F4"/>
    <w:rsid w:val="00FE6C9E"/>
    <w:rsid w:val="00FF0E9E"/>
    <w:rsid w:val="00FF1440"/>
    <w:rsid w:val="00FF34C4"/>
    <w:rsid w:val="00FF6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8BD"/>
    <w:rPr>
      <w:sz w:val="22"/>
    </w:rPr>
  </w:style>
  <w:style w:type="paragraph" w:styleId="Heading1">
    <w:name w:val="heading 1"/>
    <w:basedOn w:val="Normal"/>
    <w:next w:val="Normal"/>
    <w:qFormat/>
    <w:rsid w:val="0025287A"/>
    <w:pPr>
      <w:keepNext/>
      <w:outlineLvl w:val="0"/>
    </w:pPr>
    <w:rPr>
      <w:b/>
      <w:sz w:val="24"/>
      <w:u w:val="single"/>
    </w:rPr>
  </w:style>
  <w:style w:type="paragraph" w:styleId="Heading2">
    <w:name w:val="heading 2"/>
    <w:basedOn w:val="Normal"/>
    <w:next w:val="Normal"/>
    <w:qFormat/>
    <w:rsid w:val="0025287A"/>
    <w:pPr>
      <w:keepNext/>
      <w:jc w:val="center"/>
      <w:outlineLvl w:val="1"/>
    </w:pPr>
    <w:rPr>
      <w:b/>
      <w:sz w:val="32"/>
    </w:rPr>
  </w:style>
  <w:style w:type="paragraph" w:styleId="Heading3">
    <w:name w:val="heading 3"/>
    <w:basedOn w:val="Normal"/>
    <w:next w:val="Normal"/>
    <w:qFormat/>
    <w:rsid w:val="0025287A"/>
    <w:pPr>
      <w:keepNext/>
      <w:outlineLvl w:val="2"/>
    </w:pPr>
    <w:rPr>
      <w:sz w:val="24"/>
    </w:rPr>
  </w:style>
  <w:style w:type="paragraph" w:styleId="Heading4">
    <w:name w:val="heading 4"/>
    <w:basedOn w:val="Normal"/>
    <w:next w:val="Normal"/>
    <w:qFormat/>
    <w:rsid w:val="0025287A"/>
    <w:pPr>
      <w:keepNext/>
      <w:tabs>
        <w:tab w:val="left" w:pos="360"/>
      </w:tabs>
      <w:ind w:left="720" w:hanging="360"/>
      <w:outlineLvl w:val="3"/>
    </w:pPr>
    <w:rPr>
      <w:sz w:val="24"/>
    </w:rPr>
  </w:style>
  <w:style w:type="paragraph" w:styleId="Heading5">
    <w:name w:val="heading 5"/>
    <w:basedOn w:val="Normal"/>
    <w:next w:val="Normal"/>
    <w:qFormat/>
    <w:rsid w:val="0025287A"/>
    <w:pPr>
      <w:keepNext/>
      <w:outlineLvl w:val="4"/>
    </w:pPr>
    <w:rPr>
      <w:b/>
      <w:sz w:val="24"/>
    </w:rPr>
  </w:style>
  <w:style w:type="paragraph" w:styleId="Heading6">
    <w:name w:val="heading 6"/>
    <w:basedOn w:val="Normal"/>
    <w:next w:val="Normal"/>
    <w:qFormat/>
    <w:rsid w:val="0025287A"/>
    <w:pPr>
      <w:keepNext/>
      <w:outlineLvl w:val="5"/>
    </w:pPr>
    <w:rPr>
      <w:b/>
      <w:sz w:val="28"/>
    </w:rPr>
  </w:style>
  <w:style w:type="paragraph" w:styleId="Heading7">
    <w:name w:val="heading 7"/>
    <w:basedOn w:val="Normal"/>
    <w:next w:val="Normal"/>
    <w:qFormat/>
    <w:rsid w:val="0025287A"/>
    <w:pPr>
      <w:keepNext/>
      <w:outlineLvl w:val="6"/>
    </w:pPr>
    <w:rPr>
      <w:sz w:val="28"/>
    </w:rPr>
  </w:style>
  <w:style w:type="paragraph" w:styleId="Heading8">
    <w:name w:val="heading 8"/>
    <w:basedOn w:val="Normal"/>
    <w:next w:val="Normal"/>
    <w:qFormat/>
    <w:rsid w:val="0025287A"/>
    <w:pPr>
      <w:keepNext/>
      <w:tabs>
        <w:tab w:val="left" w:pos="720"/>
      </w:tabs>
      <w:outlineLvl w:val="7"/>
    </w:pPr>
    <w:rPr>
      <w:rFonts w:ascii="Arial" w:hAnsi="Arial"/>
      <w:b/>
      <w:color w:val="000000"/>
    </w:rPr>
  </w:style>
  <w:style w:type="paragraph" w:styleId="Heading9">
    <w:name w:val="heading 9"/>
    <w:basedOn w:val="Normal"/>
    <w:next w:val="Normal"/>
    <w:qFormat/>
    <w:rsid w:val="0025287A"/>
    <w:pPr>
      <w:keepNext/>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287A"/>
    <w:pPr>
      <w:tabs>
        <w:tab w:val="center" w:pos="4320"/>
        <w:tab w:val="right" w:pos="8640"/>
      </w:tabs>
    </w:pPr>
    <w:rPr>
      <w:sz w:val="20"/>
    </w:rPr>
  </w:style>
  <w:style w:type="character" w:styleId="PageNumber">
    <w:name w:val="page number"/>
    <w:basedOn w:val="DefaultParagraphFont"/>
    <w:rsid w:val="0025287A"/>
  </w:style>
  <w:style w:type="paragraph" w:styleId="Header">
    <w:name w:val="header"/>
    <w:basedOn w:val="Normal"/>
    <w:rsid w:val="0025287A"/>
    <w:pPr>
      <w:tabs>
        <w:tab w:val="center" w:pos="4320"/>
        <w:tab w:val="right" w:pos="8640"/>
      </w:tabs>
    </w:pPr>
  </w:style>
  <w:style w:type="paragraph" w:styleId="Title">
    <w:name w:val="Title"/>
    <w:basedOn w:val="Normal"/>
    <w:qFormat/>
    <w:rsid w:val="0025287A"/>
    <w:pPr>
      <w:jc w:val="center"/>
    </w:pPr>
    <w:rPr>
      <w:b/>
      <w:sz w:val="24"/>
    </w:rPr>
  </w:style>
  <w:style w:type="paragraph" w:styleId="BodyText">
    <w:name w:val="Body Text"/>
    <w:basedOn w:val="Normal"/>
    <w:rsid w:val="0025287A"/>
    <w:pPr>
      <w:numPr>
        <w:ilvl w:val="12"/>
      </w:numPr>
    </w:pPr>
    <w:rPr>
      <w:rFonts w:ascii="Arial" w:hAnsi="Arial"/>
      <w:b/>
      <w:sz w:val="24"/>
    </w:rPr>
  </w:style>
  <w:style w:type="paragraph" w:styleId="BodyText2">
    <w:name w:val="Body Text 2"/>
    <w:basedOn w:val="Normal"/>
    <w:rsid w:val="0025287A"/>
    <w:rPr>
      <w:sz w:val="24"/>
    </w:rPr>
  </w:style>
  <w:style w:type="paragraph" w:styleId="BodyTextIndent">
    <w:name w:val="Body Text Indent"/>
    <w:basedOn w:val="Normal"/>
    <w:rsid w:val="0025287A"/>
    <w:pPr>
      <w:ind w:left="360"/>
    </w:pPr>
  </w:style>
  <w:style w:type="paragraph" w:styleId="BodyTextIndent2">
    <w:name w:val="Body Text Indent 2"/>
    <w:basedOn w:val="Normal"/>
    <w:rsid w:val="0025287A"/>
    <w:pPr>
      <w:tabs>
        <w:tab w:val="left" w:pos="720"/>
      </w:tabs>
      <w:ind w:left="720"/>
    </w:pPr>
  </w:style>
  <w:style w:type="paragraph" w:styleId="BodyText3">
    <w:name w:val="Body Text 3"/>
    <w:basedOn w:val="Normal"/>
    <w:rsid w:val="0025287A"/>
    <w:pPr>
      <w:jc w:val="both"/>
    </w:pPr>
    <w:rPr>
      <w:sz w:val="24"/>
    </w:rPr>
  </w:style>
  <w:style w:type="paragraph" w:styleId="List">
    <w:name w:val="List"/>
    <w:basedOn w:val="Normal"/>
    <w:rsid w:val="0025287A"/>
    <w:pPr>
      <w:ind w:left="360" w:hanging="360"/>
    </w:pPr>
  </w:style>
  <w:style w:type="paragraph" w:styleId="List2">
    <w:name w:val="List 2"/>
    <w:basedOn w:val="Normal"/>
    <w:rsid w:val="0025287A"/>
    <w:pPr>
      <w:ind w:left="720" w:hanging="360"/>
    </w:pPr>
  </w:style>
  <w:style w:type="paragraph" w:styleId="ListBullet2">
    <w:name w:val="List Bullet 2"/>
    <w:basedOn w:val="Normal"/>
    <w:autoRedefine/>
    <w:rsid w:val="0025287A"/>
    <w:pPr>
      <w:numPr>
        <w:numId w:val="2"/>
      </w:numPr>
    </w:pPr>
  </w:style>
  <w:style w:type="paragraph" w:styleId="ListBullet3">
    <w:name w:val="List Bullet 3"/>
    <w:basedOn w:val="Normal"/>
    <w:autoRedefine/>
    <w:rsid w:val="0025287A"/>
    <w:pPr>
      <w:numPr>
        <w:numId w:val="3"/>
      </w:numPr>
    </w:pPr>
  </w:style>
  <w:style w:type="character" w:styleId="Hyperlink">
    <w:name w:val="Hyperlink"/>
    <w:basedOn w:val="DefaultParagraphFont"/>
    <w:rsid w:val="0025287A"/>
    <w:rPr>
      <w:color w:val="0000FF"/>
      <w:u w:val="single"/>
    </w:rPr>
  </w:style>
  <w:style w:type="paragraph" w:styleId="BodyTextIndent3">
    <w:name w:val="Body Text Indent 3"/>
    <w:basedOn w:val="Normal"/>
    <w:rsid w:val="0025287A"/>
    <w:pPr>
      <w:pBdr>
        <w:top w:val="single" w:sz="4" w:space="1" w:color="auto"/>
        <w:left w:val="single" w:sz="4" w:space="4" w:color="auto"/>
        <w:bottom w:val="single" w:sz="4" w:space="1" w:color="auto"/>
        <w:right w:val="single" w:sz="4" w:space="4" w:color="auto"/>
      </w:pBdr>
      <w:ind w:left="720" w:hanging="720"/>
    </w:pPr>
    <w:rPr>
      <w:rFonts w:ascii="Arial" w:hAnsi="Arial"/>
    </w:rPr>
  </w:style>
  <w:style w:type="paragraph" w:styleId="FootnoteText">
    <w:name w:val="footnote text"/>
    <w:basedOn w:val="Normal"/>
    <w:semiHidden/>
    <w:rsid w:val="0025287A"/>
    <w:rPr>
      <w:sz w:val="20"/>
    </w:rPr>
  </w:style>
  <w:style w:type="character" w:styleId="FootnoteReference">
    <w:name w:val="footnote reference"/>
    <w:basedOn w:val="DefaultParagraphFont"/>
    <w:semiHidden/>
    <w:rsid w:val="0025287A"/>
    <w:rPr>
      <w:vertAlign w:val="superscript"/>
    </w:rPr>
  </w:style>
  <w:style w:type="paragraph" w:customStyle="1" w:styleId="DefaultText">
    <w:name w:val="Default Text"/>
    <w:basedOn w:val="Normal"/>
    <w:rsid w:val="0025287A"/>
    <w:rPr>
      <w:sz w:val="24"/>
    </w:rPr>
  </w:style>
  <w:style w:type="character" w:styleId="FollowedHyperlink">
    <w:name w:val="FollowedHyperlink"/>
    <w:basedOn w:val="DefaultParagraphFont"/>
    <w:rsid w:val="0025287A"/>
    <w:rPr>
      <w:color w:val="800080"/>
      <w:u w:val="single"/>
    </w:rPr>
  </w:style>
  <w:style w:type="character" w:styleId="LineNumber">
    <w:name w:val="line number"/>
    <w:basedOn w:val="DefaultParagraphFont"/>
    <w:rsid w:val="00855F3A"/>
  </w:style>
  <w:style w:type="character" w:styleId="CommentReference">
    <w:name w:val="annotation reference"/>
    <w:basedOn w:val="DefaultParagraphFont"/>
    <w:semiHidden/>
    <w:rsid w:val="00EC7089"/>
    <w:rPr>
      <w:sz w:val="16"/>
      <w:szCs w:val="16"/>
    </w:rPr>
  </w:style>
  <w:style w:type="paragraph" w:styleId="CommentText">
    <w:name w:val="annotation text"/>
    <w:basedOn w:val="Normal"/>
    <w:link w:val="CommentTextChar"/>
    <w:semiHidden/>
    <w:rsid w:val="00EC7089"/>
    <w:rPr>
      <w:sz w:val="20"/>
    </w:rPr>
  </w:style>
  <w:style w:type="paragraph" w:styleId="CommentSubject">
    <w:name w:val="annotation subject"/>
    <w:basedOn w:val="CommentText"/>
    <w:next w:val="CommentText"/>
    <w:semiHidden/>
    <w:rsid w:val="00EC7089"/>
    <w:rPr>
      <w:b/>
      <w:bCs/>
    </w:rPr>
  </w:style>
  <w:style w:type="paragraph" w:styleId="BalloonText">
    <w:name w:val="Balloon Text"/>
    <w:basedOn w:val="Normal"/>
    <w:semiHidden/>
    <w:rsid w:val="00EC7089"/>
    <w:rPr>
      <w:rFonts w:ascii="Tahoma" w:hAnsi="Tahoma" w:cs="Tahoma"/>
      <w:sz w:val="16"/>
      <w:szCs w:val="16"/>
    </w:rPr>
  </w:style>
  <w:style w:type="paragraph" w:styleId="ListParagraph">
    <w:name w:val="List Paragraph"/>
    <w:basedOn w:val="Normal"/>
    <w:uiPriority w:val="34"/>
    <w:qFormat/>
    <w:rsid w:val="00094CF1"/>
    <w:pPr>
      <w:ind w:left="720"/>
    </w:pPr>
  </w:style>
  <w:style w:type="character" w:customStyle="1" w:styleId="CommentTextChar">
    <w:name w:val="Comment Text Char"/>
    <w:basedOn w:val="DefaultParagraphFont"/>
    <w:link w:val="CommentText"/>
    <w:semiHidden/>
    <w:rsid w:val="008623FC"/>
  </w:style>
</w:styles>
</file>

<file path=word/webSettings.xml><?xml version="1.0" encoding="utf-8"?>
<w:webSettings xmlns:r="http://schemas.openxmlformats.org/officeDocument/2006/relationships" xmlns:w="http://schemas.openxmlformats.org/wordprocessingml/2006/main">
  <w:divs>
    <w:div w:id="485972546">
      <w:bodyDiv w:val="1"/>
      <w:marLeft w:val="0"/>
      <w:marRight w:val="0"/>
      <w:marTop w:val="0"/>
      <w:marBottom w:val="0"/>
      <w:divBdr>
        <w:top w:val="none" w:sz="0" w:space="0" w:color="auto"/>
        <w:left w:val="none" w:sz="0" w:space="0" w:color="auto"/>
        <w:bottom w:val="none" w:sz="0" w:space="0" w:color="auto"/>
        <w:right w:val="none" w:sz="0" w:space="0" w:color="auto"/>
      </w:divBdr>
      <w:divsChild>
        <w:div w:id="70541753">
          <w:marLeft w:val="547"/>
          <w:marRight w:val="0"/>
          <w:marTop w:val="154"/>
          <w:marBottom w:val="0"/>
          <w:divBdr>
            <w:top w:val="none" w:sz="0" w:space="0" w:color="auto"/>
            <w:left w:val="none" w:sz="0" w:space="0" w:color="auto"/>
            <w:bottom w:val="none" w:sz="0" w:space="0" w:color="auto"/>
            <w:right w:val="none" w:sz="0" w:space="0" w:color="auto"/>
          </w:divBdr>
        </w:div>
        <w:div w:id="835337637">
          <w:marLeft w:val="547"/>
          <w:marRight w:val="0"/>
          <w:marTop w:val="154"/>
          <w:marBottom w:val="0"/>
          <w:divBdr>
            <w:top w:val="none" w:sz="0" w:space="0" w:color="auto"/>
            <w:left w:val="none" w:sz="0" w:space="0" w:color="auto"/>
            <w:bottom w:val="none" w:sz="0" w:space="0" w:color="auto"/>
            <w:right w:val="none" w:sz="0" w:space="0" w:color="auto"/>
          </w:divBdr>
        </w:div>
        <w:div w:id="1488204708">
          <w:marLeft w:val="547"/>
          <w:marRight w:val="0"/>
          <w:marTop w:val="154"/>
          <w:marBottom w:val="0"/>
          <w:divBdr>
            <w:top w:val="none" w:sz="0" w:space="0" w:color="auto"/>
            <w:left w:val="none" w:sz="0" w:space="0" w:color="auto"/>
            <w:bottom w:val="none" w:sz="0" w:space="0" w:color="auto"/>
            <w:right w:val="none" w:sz="0" w:space="0" w:color="auto"/>
          </w:divBdr>
        </w:div>
      </w:divsChild>
    </w:div>
    <w:div w:id="1598168750">
      <w:bodyDiv w:val="1"/>
      <w:marLeft w:val="0"/>
      <w:marRight w:val="0"/>
      <w:marTop w:val="0"/>
      <w:marBottom w:val="0"/>
      <w:divBdr>
        <w:top w:val="none" w:sz="0" w:space="0" w:color="auto"/>
        <w:left w:val="none" w:sz="0" w:space="0" w:color="auto"/>
        <w:bottom w:val="none" w:sz="0" w:space="0" w:color="auto"/>
        <w:right w:val="none" w:sz="0" w:space="0" w:color="auto"/>
      </w:divBdr>
      <w:divsChild>
        <w:div w:id="128135040">
          <w:marLeft w:val="547"/>
          <w:marRight w:val="0"/>
          <w:marTop w:val="115"/>
          <w:marBottom w:val="0"/>
          <w:divBdr>
            <w:top w:val="none" w:sz="0" w:space="0" w:color="auto"/>
            <w:left w:val="none" w:sz="0" w:space="0" w:color="auto"/>
            <w:bottom w:val="none" w:sz="0" w:space="0" w:color="auto"/>
            <w:right w:val="none" w:sz="0" w:space="0" w:color="auto"/>
          </w:divBdr>
        </w:div>
        <w:div w:id="963080909">
          <w:marLeft w:val="547"/>
          <w:marRight w:val="0"/>
          <w:marTop w:val="115"/>
          <w:marBottom w:val="0"/>
          <w:divBdr>
            <w:top w:val="none" w:sz="0" w:space="0" w:color="auto"/>
            <w:left w:val="none" w:sz="0" w:space="0" w:color="auto"/>
            <w:bottom w:val="none" w:sz="0" w:space="0" w:color="auto"/>
            <w:right w:val="none" w:sz="0" w:space="0" w:color="auto"/>
          </w:divBdr>
        </w:div>
        <w:div w:id="1268272731">
          <w:marLeft w:val="547"/>
          <w:marRight w:val="0"/>
          <w:marTop w:val="115"/>
          <w:marBottom w:val="0"/>
          <w:divBdr>
            <w:top w:val="none" w:sz="0" w:space="0" w:color="auto"/>
            <w:left w:val="none" w:sz="0" w:space="0" w:color="auto"/>
            <w:bottom w:val="none" w:sz="0" w:space="0" w:color="auto"/>
            <w:right w:val="none" w:sz="0" w:space="0" w:color="auto"/>
          </w:divBdr>
        </w:div>
      </w:divsChild>
    </w:div>
    <w:div w:id="1671837208">
      <w:bodyDiv w:val="1"/>
      <w:marLeft w:val="0"/>
      <w:marRight w:val="0"/>
      <w:marTop w:val="0"/>
      <w:marBottom w:val="0"/>
      <w:divBdr>
        <w:top w:val="none" w:sz="0" w:space="0" w:color="auto"/>
        <w:left w:val="none" w:sz="0" w:space="0" w:color="auto"/>
        <w:bottom w:val="none" w:sz="0" w:space="0" w:color="auto"/>
        <w:right w:val="none" w:sz="0" w:space="0" w:color="auto"/>
      </w:divBdr>
      <w:divsChild>
        <w:div w:id="263154428">
          <w:marLeft w:val="547"/>
          <w:marRight w:val="0"/>
          <w:marTop w:val="106"/>
          <w:marBottom w:val="0"/>
          <w:divBdr>
            <w:top w:val="none" w:sz="0" w:space="0" w:color="auto"/>
            <w:left w:val="none" w:sz="0" w:space="0" w:color="auto"/>
            <w:bottom w:val="none" w:sz="0" w:space="0" w:color="auto"/>
            <w:right w:val="none" w:sz="0" w:space="0" w:color="auto"/>
          </w:divBdr>
        </w:div>
        <w:div w:id="750473363">
          <w:marLeft w:val="547"/>
          <w:marRight w:val="0"/>
          <w:marTop w:val="106"/>
          <w:marBottom w:val="0"/>
          <w:divBdr>
            <w:top w:val="none" w:sz="0" w:space="0" w:color="auto"/>
            <w:left w:val="none" w:sz="0" w:space="0" w:color="auto"/>
            <w:bottom w:val="none" w:sz="0" w:space="0" w:color="auto"/>
            <w:right w:val="none" w:sz="0" w:space="0" w:color="auto"/>
          </w:divBdr>
        </w:div>
      </w:divsChild>
    </w:div>
    <w:div w:id="2057003582">
      <w:bodyDiv w:val="1"/>
      <w:marLeft w:val="0"/>
      <w:marRight w:val="0"/>
      <w:marTop w:val="0"/>
      <w:marBottom w:val="0"/>
      <w:divBdr>
        <w:top w:val="none" w:sz="0" w:space="0" w:color="auto"/>
        <w:left w:val="none" w:sz="0" w:space="0" w:color="auto"/>
        <w:bottom w:val="none" w:sz="0" w:space="0" w:color="auto"/>
        <w:right w:val="none" w:sz="0" w:space="0" w:color="auto"/>
      </w:divBdr>
    </w:div>
    <w:div w:id="21452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ogram xmlns="b6b9feb6-efda-49fb-8a13-55ba8d58cff5">WSC</Program>
    <Other xmlns="b6b9feb6-efda-49fb-8a13-55ba8d58cff5"/>
    <CoV_x0020_Year xmlns="b6b9feb6-efda-49fb-8a13-55ba8d58cff5">2011</CoV_x0020_Year>
    <Document_x0020_Type xmlns="b6b9feb6-efda-49fb-8a13-55ba8d58cff5">Response Update</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3ECFAAC718044DB43158AEDFE22EC0" ma:contentTypeVersion="4" ma:contentTypeDescription="Create a new document." ma:contentTypeScope="" ma:versionID="1b22bd7571a3c0d2b7a2dd070d731fb4">
  <xsd:schema xmlns:xsd="http://www.w3.org/2001/XMLSchema" xmlns:xs="http://www.w3.org/2001/XMLSchema" xmlns:p="http://schemas.microsoft.com/office/2006/metadata/properties" xmlns:ns2="b6b9feb6-efda-49fb-8a13-55ba8d58cff5" targetNamespace="http://schemas.microsoft.com/office/2006/metadata/properties" ma:root="true" ma:fieldsID="5c04d9f37cc5571f7cbf92eee48d3525" ns2:_="">
    <xsd:import namespace="b6b9feb6-efda-49fb-8a13-55ba8d58cff5"/>
    <xsd:element name="properties">
      <xsd:complexType>
        <xsd:sequence>
          <xsd:element name="documentManagement">
            <xsd:complexType>
              <xsd:all>
                <xsd:element ref="ns2:Document_x0020_Type" minOccurs="0"/>
                <xsd:element ref="ns2:Program" minOccurs="0"/>
                <xsd:element ref="ns2:Other" minOccurs="0"/>
                <xsd:element ref="ns2:CoV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9feb6-efda-49fb-8a13-55ba8d58cff5" elementFormDefault="qualified">
    <xsd:import namespace="http://schemas.microsoft.com/office/2006/documentManagement/types"/>
    <xsd:import namespace="http://schemas.microsoft.com/office/infopath/2007/PartnerControls"/>
    <xsd:element name="Document_x0020_Type" ma:index="8" nillable="true" ma:displayName="Document Type" ma:format="RadioButtons" ma:internalName="Document_x0020_Type">
      <xsd:simpleType>
        <xsd:restriction base="dms:Choice">
          <xsd:enumeration value="Data"/>
          <xsd:enumeration value="Highlight"/>
          <xsd:enumeration value="Members"/>
          <xsd:enumeration value="Presentation"/>
          <xsd:enumeration value="Reference Material"/>
          <xsd:enumeration value="Report"/>
          <xsd:enumeration value="Response"/>
          <xsd:enumeration value="Response Update"/>
          <xsd:enumeration value="Template"/>
        </xsd:restriction>
      </xsd:simpleType>
    </xsd:element>
    <xsd:element name="Program" ma:index="9" nillable="true" ma:displayName="Program" ma:format="RadioButtons" ma:internalName="Program">
      <xsd:simpleType>
        <xsd:restriction base="dms:Choice">
          <xsd:enumeration value="CUAHSI"/>
          <xsd:enumeration value="CZO"/>
          <xsd:enumeration value="E&amp;HR"/>
          <xsd:enumeration value="GG"/>
          <xsd:enumeration value="GLD"/>
          <xsd:enumeration value="HS"/>
          <xsd:enumeration value="P2C2"/>
          <xsd:enumeration value="SGP"/>
          <xsd:enumeration value="WSC"/>
        </xsd:restriction>
      </xsd:simpleType>
    </xsd:element>
    <xsd:element name="Other" ma:index="10" nillable="true" ma:displayName="Other" ma:internalName="Other">
      <xsd:complexType>
        <xsd:complexContent>
          <xsd:extension base="dms:MultiChoice">
            <xsd:sequence>
              <xsd:element name="Value" maxOccurs="unbounded" minOccurs="0" nillable="true">
                <xsd:simpleType>
                  <xsd:restriction base="dms:Choice">
                    <xsd:enumeration value="ARRA"/>
                    <xsd:enumeration value="CAREER"/>
                    <xsd:enumeration value="CMG"/>
                    <xsd:enumeration value="EPSCoR"/>
                  </xsd:restriction>
                </xsd:simpleType>
              </xsd:element>
            </xsd:sequence>
          </xsd:extension>
        </xsd:complexContent>
      </xsd:complexType>
    </xsd:element>
    <xsd:element name="CoV_x0020_Year" ma:index="11" nillable="true" ma:displayName="CoV Year" ma:description="2008&#10;2011" ma:internalName="CoV_x0020_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575F-270D-40B6-8AA4-06B20445D770}">
  <ds:schemaRefs>
    <ds:schemaRef ds:uri="http://schemas.microsoft.com/sharepoint/v3/contenttype/forms"/>
  </ds:schemaRefs>
</ds:datastoreItem>
</file>

<file path=customXml/itemProps2.xml><?xml version="1.0" encoding="utf-8"?>
<ds:datastoreItem xmlns:ds="http://schemas.openxmlformats.org/officeDocument/2006/customXml" ds:itemID="{0693D734-896F-45BA-8B8F-83A8601EBC7C}">
  <ds:schemaRefs>
    <ds:schemaRef ds:uri="http://schemas.microsoft.com/office/2006/metadata/longProperties"/>
  </ds:schemaRefs>
</ds:datastoreItem>
</file>

<file path=customXml/itemProps3.xml><?xml version="1.0" encoding="utf-8"?>
<ds:datastoreItem xmlns:ds="http://schemas.openxmlformats.org/officeDocument/2006/customXml" ds:itemID="{6F4AA596-9E61-4B09-99EE-02D81C54890E}">
  <ds:schemaRefs>
    <ds:schemaRef ds:uri="http://schemas.microsoft.com/office/2006/metadata/properties"/>
    <ds:schemaRef ds:uri="b6b9feb6-efda-49fb-8a13-55ba8d58cff5"/>
  </ds:schemaRefs>
</ds:datastoreItem>
</file>

<file path=customXml/itemProps4.xml><?xml version="1.0" encoding="utf-8"?>
<ds:datastoreItem xmlns:ds="http://schemas.openxmlformats.org/officeDocument/2006/customXml" ds:itemID="{28A09AEB-D625-404A-85FB-A7C8A0D6D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9feb6-efda-49fb-8a13-55ba8d58c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680708-9384-4895-84E6-E358EF11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5095</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RESPONSE to SEP COV REPORT 2012 UPDATE</vt:lpstr>
    </vt:vector>
  </TitlesOfParts>
  <Company>nsf</Company>
  <LinksUpToDate>false</LinksUpToDate>
  <CharactersWithSpaces>34069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SEP COV REPORT 2012 UPDATE</dc:title>
  <dc:subject/>
  <dc:creator>nsfuser</dc:creator>
  <cp:keywords/>
  <cp:lastModifiedBy>Lina Patino</cp:lastModifiedBy>
  <cp:revision>3</cp:revision>
  <cp:lastPrinted>2011-07-19T12:47:00Z</cp:lastPrinted>
  <dcterms:created xsi:type="dcterms:W3CDTF">2012-09-24T16:34:00Z</dcterms:created>
  <dcterms:modified xsi:type="dcterms:W3CDTF">2012-09-24T16:54:00Z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0x010100903ECFAAC718044DB43158AEDFE22EC0</vt:lpwstr>
  </property>
</Properties>
</file>