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8FDA1" w14:textId="316C587F" w:rsidR="004C1CC3" w:rsidRDefault="004C1CC3" w:rsidP="00D41E2E">
      <w:pPr>
        <w:spacing w:line="252" w:lineRule="auto"/>
        <w:jc w:val="center"/>
        <w:rPr>
          <w:rFonts w:ascii="Times New Roman" w:hAnsi="Times New Roman"/>
          <w:sz w:val="24"/>
          <w:szCs w:val="24"/>
        </w:rPr>
      </w:pPr>
      <w:r w:rsidRPr="005D75E5">
        <w:rPr>
          <w:rFonts w:ascii="Times New Roman" w:hAnsi="Times New Roman"/>
          <w:sz w:val="24"/>
          <w:szCs w:val="24"/>
        </w:rPr>
        <w:t xml:space="preserve">NSF </w:t>
      </w:r>
      <w:r w:rsidR="001F6566">
        <w:rPr>
          <w:rFonts w:ascii="Times New Roman" w:hAnsi="Times New Roman"/>
          <w:sz w:val="24"/>
          <w:szCs w:val="24"/>
        </w:rPr>
        <w:t xml:space="preserve">Support for </w:t>
      </w:r>
      <w:r w:rsidR="00742465">
        <w:rPr>
          <w:rFonts w:ascii="Times New Roman" w:hAnsi="Times New Roman"/>
          <w:sz w:val="24"/>
          <w:szCs w:val="24"/>
        </w:rPr>
        <w:t xml:space="preserve"> </w:t>
      </w:r>
      <w:r w:rsidRPr="005D75E5">
        <w:rPr>
          <w:rFonts w:ascii="Times New Roman" w:hAnsi="Times New Roman"/>
          <w:sz w:val="24"/>
          <w:szCs w:val="24"/>
        </w:rPr>
        <w:t>Graduate Education</w:t>
      </w:r>
      <w:r w:rsidR="001F6566">
        <w:rPr>
          <w:rFonts w:ascii="Times New Roman" w:hAnsi="Times New Roman"/>
          <w:sz w:val="24"/>
          <w:szCs w:val="24"/>
        </w:rPr>
        <w:t xml:space="preserve"> in Science &amp; Engineering</w:t>
      </w:r>
    </w:p>
    <w:p w14:paraId="7CE6E280" w14:textId="77777777" w:rsidR="009A3F8E" w:rsidRPr="005D75E5" w:rsidRDefault="009A3F8E" w:rsidP="004C1CC3">
      <w:pPr>
        <w:rPr>
          <w:rFonts w:ascii="Times New Roman" w:hAnsi="Times New Roman"/>
          <w:sz w:val="24"/>
          <w:szCs w:val="24"/>
        </w:rPr>
      </w:pPr>
    </w:p>
    <w:p w14:paraId="408C409C" w14:textId="446CE870" w:rsidR="00033DBC" w:rsidRDefault="00200F04" w:rsidP="00200F04">
      <w:pPr>
        <w:spacing w:line="252" w:lineRule="auto"/>
        <w:rPr>
          <w:rFonts w:ascii="Times New Roman" w:hAnsi="Times New Roman"/>
          <w:sz w:val="24"/>
          <w:szCs w:val="24"/>
        </w:rPr>
      </w:pPr>
      <w:r w:rsidRPr="005D75E5">
        <w:rPr>
          <w:rFonts w:ascii="Times New Roman" w:hAnsi="Times New Roman"/>
          <w:sz w:val="24"/>
          <w:szCs w:val="24"/>
        </w:rPr>
        <w:t xml:space="preserve">For </w:t>
      </w:r>
      <w:r w:rsidR="005D75E5" w:rsidRPr="005D75E5">
        <w:rPr>
          <w:rFonts w:ascii="Times New Roman" w:hAnsi="Times New Roman"/>
          <w:sz w:val="24"/>
          <w:szCs w:val="24"/>
        </w:rPr>
        <w:t xml:space="preserve">the </w:t>
      </w:r>
      <w:r w:rsidR="005D75E5" w:rsidRPr="005D75E5">
        <w:rPr>
          <w:rFonts w:ascii="Times New Roman" w:hAnsi="Times New Roman"/>
          <w:bCs/>
          <w:sz w:val="24"/>
          <w:szCs w:val="24"/>
        </w:rPr>
        <w:t>National Science Foundation</w:t>
      </w:r>
      <w:r w:rsidR="005D75E5" w:rsidRPr="005D75E5">
        <w:rPr>
          <w:rFonts w:ascii="Times New Roman" w:hAnsi="Times New Roman"/>
          <w:sz w:val="24"/>
          <w:szCs w:val="24"/>
        </w:rPr>
        <w:t xml:space="preserve">, promoting </w:t>
      </w:r>
      <w:r w:rsidRPr="005D75E5">
        <w:rPr>
          <w:rFonts w:ascii="Times New Roman" w:hAnsi="Times New Roman"/>
          <w:sz w:val="24"/>
          <w:szCs w:val="24"/>
        </w:rPr>
        <w:t xml:space="preserve">excellence in </w:t>
      </w:r>
      <w:r w:rsidR="002E1A95" w:rsidRPr="005D75E5">
        <w:rPr>
          <w:rFonts w:ascii="Times New Roman" w:hAnsi="Times New Roman"/>
          <w:sz w:val="24"/>
          <w:szCs w:val="24"/>
        </w:rPr>
        <w:t>graduate education</w:t>
      </w:r>
      <w:r w:rsidRPr="005D75E5">
        <w:rPr>
          <w:rFonts w:ascii="Times New Roman" w:hAnsi="Times New Roman"/>
          <w:sz w:val="24"/>
          <w:szCs w:val="24"/>
        </w:rPr>
        <w:t xml:space="preserve"> </w:t>
      </w:r>
      <w:r w:rsidR="007A595F">
        <w:rPr>
          <w:rFonts w:ascii="Times New Roman" w:hAnsi="Times New Roman"/>
          <w:sz w:val="24"/>
          <w:szCs w:val="24"/>
        </w:rPr>
        <w:t xml:space="preserve">in partnership with academia </w:t>
      </w:r>
      <w:r w:rsidRPr="005D75E5">
        <w:rPr>
          <w:rFonts w:ascii="Times New Roman" w:hAnsi="Times New Roman"/>
          <w:sz w:val="24"/>
          <w:szCs w:val="24"/>
        </w:rPr>
        <w:t xml:space="preserve">ensures the </w:t>
      </w:r>
      <w:r w:rsidR="007349A7">
        <w:rPr>
          <w:rFonts w:ascii="Times New Roman" w:hAnsi="Times New Roman"/>
          <w:sz w:val="24"/>
          <w:szCs w:val="24"/>
        </w:rPr>
        <w:t xml:space="preserve">continued </w:t>
      </w:r>
      <w:r w:rsidRPr="005D75E5">
        <w:rPr>
          <w:rFonts w:ascii="Times New Roman" w:hAnsi="Times New Roman"/>
          <w:sz w:val="24"/>
          <w:szCs w:val="24"/>
        </w:rPr>
        <w:t>advancement of knowledge in</w:t>
      </w:r>
      <w:r w:rsidR="005D75E5" w:rsidRPr="005D75E5">
        <w:rPr>
          <w:rFonts w:ascii="Times New Roman" w:hAnsi="Times New Roman"/>
          <w:sz w:val="24"/>
          <w:szCs w:val="24"/>
        </w:rPr>
        <w:t xml:space="preserve"> the</w:t>
      </w:r>
      <w:r w:rsidR="003870A1">
        <w:rPr>
          <w:rFonts w:ascii="Times New Roman" w:hAnsi="Times New Roman"/>
          <w:sz w:val="24"/>
          <w:szCs w:val="24"/>
        </w:rPr>
        <w:t xml:space="preserve"> science and engineering (S&amp;E) </w:t>
      </w:r>
      <w:r w:rsidRPr="005D75E5">
        <w:rPr>
          <w:rFonts w:ascii="Times New Roman" w:hAnsi="Times New Roman"/>
          <w:sz w:val="24"/>
          <w:szCs w:val="24"/>
        </w:rPr>
        <w:t xml:space="preserve">disciplines, promotes innovation in the research enterprise, </w:t>
      </w:r>
      <w:r w:rsidR="003870A1">
        <w:rPr>
          <w:rFonts w:ascii="Times New Roman" w:hAnsi="Times New Roman"/>
          <w:sz w:val="24"/>
          <w:szCs w:val="24"/>
        </w:rPr>
        <w:t>and helps secure the future S&amp;E</w:t>
      </w:r>
      <w:r w:rsidR="005D75E5" w:rsidRPr="005D75E5">
        <w:rPr>
          <w:rFonts w:ascii="Times New Roman" w:hAnsi="Times New Roman"/>
          <w:sz w:val="24"/>
          <w:szCs w:val="24"/>
        </w:rPr>
        <w:t xml:space="preserve"> </w:t>
      </w:r>
      <w:r w:rsidRPr="005D75E5">
        <w:rPr>
          <w:rFonts w:ascii="Times New Roman" w:hAnsi="Times New Roman"/>
          <w:sz w:val="24"/>
          <w:szCs w:val="24"/>
        </w:rPr>
        <w:t xml:space="preserve">workforce.  </w:t>
      </w:r>
      <w:r w:rsidR="005D75E5" w:rsidRPr="005D75E5">
        <w:rPr>
          <w:rFonts w:ascii="Times New Roman" w:hAnsi="Times New Roman"/>
          <w:sz w:val="24"/>
          <w:szCs w:val="24"/>
        </w:rPr>
        <w:t xml:space="preserve">In the FY 2016 Budget Request, NSF reported $1 billion in support of </w:t>
      </w:r>
      <w:r w:rsidR="005D75E5">
        <w:rPr>
          <w:rFonts w:ascii="Times New Roman" w:hAnsi="Times New Roman"/>
          <w:sz w:val="24"/>
          <w:szCs w:val="24"/>
        </w:rPr>
        <w:t xml:space="preserve">over 43,000 </w:t>
      </w:r>
      <w:r w:rsidR="005D75E5" w:rsidRPr="005D75E5">
        <w:rPr>
          <w:rFonts w:ascii="Times New Roman" w:hAnsi="Times New Roman"/>
          <w:sz w:val="24"/>
          <w:szCs w:val="24"/>
        </w:rPr>
        <w:t>graduate students (</w:t>
      </w:r>
      <w:r w:rsidR="005D75E5">
        <w:rPr>
          <w:rFonts w:ascii="Times New Roman" w:hAnsi="Times New Roman"/>
          <w:sz w:val="24"/>
          <w:szCs w:val="24"/>
        </w:rPr>
        <w:t xml:space="preserve">with </w:t>
      </w:r>
      <w:r w:rsidR="005D75E5" w:rsidRPr="005D75E5">
        <w:rPr>
          <w:rFonts w:ascii="Times New Roman" w:hAnsi="Times New Roman"/>
          <w:sz w:val="24"/>
          <w:szCs w:val="24"/>
        </w:rPr>
        <w:t xml:space="preserve">80% </w:t>
      </w:r>
      <w:r w:rsidR="005D75E5">
        <w:rPr>
          <w:rFonts w:ascii="Times New Roman" w:hAnsi="Times New Roman"/>
          <w:sz w:val="24"/>
          <w:szCs w:val="24"/>
        </w:rPr>
        <w:t xml:space="preserve">applied </w:t>
      </w:r>
      <w:r w:rsidR="005D75E5" w:rsidRPr="005D75E5">
        <w:rPr>
          <w:rFonts w:ascii="Times New Roman" w:hAnsi="Times New Roman"/>
          <w:sz w:val="24"/>
          <w:szCs w:val="24"/>
        </w:rPr>
        <w:t xml:space="preserve">to research assistantships, 15% to fellowships, and 5% to traineeships). </w:t>
      </w:r>
    </w:p>
    <w:p w14:paraId="5F97811A" w14:textId="77777777" w:rsidR="005D75E5" w:rsidRDefault="005D75E5" w:rsidP="00200F04">
      <w:pPr>
        <w:spacing w:line="252" w:lineRule="auto"/>
        <w:rPr>
          <w:rFonts w:ascii="Times New Roman" w:hAnsi="Times New Roman"/>
          <w:sz w:val="24"/>
          <w:szCs w:val="24"/>
        </w:rPr>
      </w:pPr>
    </w:p>
    <w:p w14:paraId="5240B9E1" w14:textId="37BB676D" w:rsidR="005D75E5" w:rsidRPr="004403BE" w:rsidRDefault="005D75E5" w:rsidP="005D75E5">
      <w:pPr>
        <w:spacing w:line="252" w:lineRule="auto"/>
        <w:rPr>
          <w:rFonts w:ascii="Times New Roman" w:hAnsi="Times New Roman"/>
          <w:sz w:val="24"/>
          <w:szCs w:val="24"/>
        </w:rPr>
      </w:pPr>
      <w:r w:rsidRPr="004403BE">
        <w:rPr>
          <w:rFonts w:ascii="Times New Roman" w:hAnsi="Times New Roman"/>
          <w:sz w:val="24"/>
          <w:szCs w:val="24"/>
        </w:rPr>
        <w:t>In July 2014, the NSF convened the Graduate Strategic Planning Committee to review NSF investments in graduate education and training</w:t>
      </w:r>
      <w:r>
        <w:rPr>
          <w:rFonts w:ascii="Times New Roman" w:hAnsi="Times New Roman"/>
          <w:sz w:val="24"/>
          <w:szCs w:val="24"/>
        </w:rPr>
        <w:t xml:space="preserve">.  </w:t>
      </w:r>
      <w:r w:rsidRPr="004403BE">
        <w:rPr>
          <w:rFonts w:ascii="Times New Roman" w:hAnsi="Times New Roman"/>
          <w:sz w:val="24"/>
          <w:szCs w:val="24"/>
        </w:rPr>
        <w:t xml:space="preserve">The committee </w:t>
      </w:r>
      <w:r>
        <w:rPr>
          <w:rFonts w:ascii="Times New Roman" w:hAnsi="Times New Roman"/>
          <w:sz w:val="24"/>
          <w:szCs w:val="24"/>
        </w:rPr>
        <w:t>concurred with</w:t>
      </w:r>
      <w:r w:rsidRPr="004403BE">
        <w:rPr>
          <w:rFonts w:ascii="Times New Roman" w:hAnsi="Times New Roman"/>
          <w:sz w:val="24"/>
          <w:szCs w:val="24"/>
        </w:rPr>
        <w:t xml:space="preserve"> external reports</w:t>
      </w:r>
      <w:r w:rsidR="00C46594">
        <w:rPr>
          <w:rFonts w:ascii="Times New Roman" w:hAnsi="Times New Roman"/>
          <w:sz w:val="24"/>
          <w:szCs w:val="24"/>
        </w:rPr>
        <w:t xml:space="preserve"> (</w:t>
      </w:r>
      <w:r w:rsidR="005E1EDA">
        <w:rPr>
          <w:rFonts w:ascii="Times New Roman" w:hAnsi="Times New Roman"/>
          <w:sz w:val="24"/>
          <w:szCs w:val="24"/>
        </w:rPr>
        <w:t>see Reference Reports below)</w:t>
      </w:r>
      <w:r w:rsidRPr="004403BE">
        <w:rPr>
          <w:rFonts w:ascii="Times New Roman" w:hAnsi="Times New Roman"/>
          <w:sz w:val="24"/>
          <w:szCs w:val="24"/>
        </w:rPr>
        <w:t xml:space="preserve"> that:  (a) </w:t>
      </w:r>
      <w:r>
        <w:rPr>
          <w:rFonts w:ascii="Times New Roman" w:hAnsi="Times New Roman"/>
          <w:sz w:val="24"/>
          <w:szCs w:val="24"/>
        </w:rPr>
        <w:t>scientific disciplines vary in their</w:t>
      </w:r>
      <w:r w:rsidRPr="004403BE">
        <w:rPr>
          <w:rFonts w:ascii="Times New Roman" w:hAnsi="Times New Roman"/>
          <w:sz w:val="24"/>
          <w:szCs w:val="24"/>
        </w:rPr>
        <w:t xml:space="preserve"> practices and content</w:t>
      </w:r>
      <w:r>
        <w:rPr>
          <w:rFonts w:ascii="Times New Roman" w:hAnsi="Times New Roman"/>
          <w:sz w:val="24"/>
          <w:szCs w:val="24"/>
        </w:rPr>
        <w:t xml:space="preserve"> </w:t>
      </w:r>
      <w:r w:rsidR="00AE79C8">
        <w:rPr>
          <w:rFonts w:ascii="Times New Roman" w:hAnsi="Times New Roman"/>
          <w:sz w:val="24"/>
          <w:szCs w:val="24"/>
        </w:rPr>
        <w:t>with regard to</w:t>
      </w:r>
      <w:r>
        <w:rPr>
          <w:rFonts w:ascii="Times New Roman" w:hAnsi="Times New Roman"/>
          <w:sz w:val="24"/>
          <w:szCs w:val="24"/>
        </w:rPr>
        <w:t xml:space="preserve"> graduate education, and (b) that graduate education must respond to </w:t>
      </w:r>
      <w:r w:rsidRPr="004403BE">
        <w:rPr>
          <w:rFonts w:ascii="Times New Roman" w:hAnsi="Times New Roman"/>
          <w:sz w:val="24"/>
          <w:szCs w:val="24"/>
        </w:rPr>
        <w:t xml:space="preserve">profound changes in </w:t>
      </w:r>
      <w:r w:rsidR="00B80C7A">
        <w:rPr>
          <w:rFonts w:ascii="Times New Roman" w:hAnsi="Times New Roman"/>
          <w:sz w:val="24"/>
          <w:szCs w:val="24"/>
        </w:rPr>
        <w:t xml:space="preserve">the </w:t>
      </w:r>
      <w:r>
        <w:rPr>
          <w:rFonts w:ascii="Times New Roman" w:hAnsi="Times New Roman"/>
          <w:sz w:val="24"/>
          <w:szCs w:val="24"/>
        </w:rPr>
        <w:t xml:space="preserve">knowledge and </w:t>
      </w:r>
      <w:r w:rsidR="00B80C7A">
        <w:rPr>
          <w:rFonts w:ascii="Times New Roman" w:hAnsi="Times New Roman"/>
          <w:sz w:val="24"/>
          <w:szCs w:val="24"/>
        </w:rPr>
        <w:t>skills</w:t>
      </w:r>
      <w:r>
        <w:rPr>
          <w:rFonts w:ascii="Times New Roman" w:hAnsi="Times New Roman"/>
          <w:sz w:val="24"/>
          <w:szCs w:val="24"/>
        </w:rPr>
        <w:t xml:space="preserve"> </w:t>
      </w:r>
      <w:r w:rsidR="00B80C7A">
        <w:rPr>
          <w:rFonts w:ascii="Times New Roman" w:hAnsi="Times New Roman"/>
          <w:sz w:val="24"/>
          <w:szCs w:val="24"/>
        </w:rPr>
        <w:t>required</w:t>
      </w:r>
      <w:r>
        <w:rPr>
          <w:rFonts w:ascii="Times New Roman" w:hAnsi="Times New Roman"/>
          <w:sz w:val="24"/>
          <w:szCs w:val="24"/>
        </w:rPr>
        <w:t xml:space="preserve"> </w:t>
      </w:r>
      <w:r w:rsidR="00B80C7A">
        <w:rPr>
          <w:rFonts w:ascii="Times New Roman" w:hAnsi="Times New Roman"/>
          <w:sz w:val="24"/>
          <w:szCs w:val="24"/>
        </w:rPr>
        <w:t>by</w:t>
      </w:r>
      <w:r>
        <w:rPr>
          <w:rFonts w:ascii="Times New Roman" w:hAnsi="Times New Roman"/>
          <w:sz w:val="24"/>
          <w:szCs w:val="24"/>
        </w:rPr>
        <w:t xml:space="preserve"> a </w:t>
      </w:r>
      <w:r w:rsidR="00B80C7A">
        <w:rPr>
          <w:rFonts w:ascii="Times New Roman" w:hAnsi="Times New Roman"/>
          <w:sz w:val="24"/>
          <w:szCs w:val="24"/>
        </w:rPr>
        <w:t xml:space="preserve">highly </w:t>
      </w:r>
      <w:r w:rsidR="003870A1">
        <w:rPr>
          <w:rFonts w:ascii="Times New Roman" w:hAnsi="Times New Roman"/>
          <w:sz w:val="24"/>
          <w:szCs w:val="24"/>
        </w:rPr>
        <w:t>dynamic S&amp;E</w:t>
      </w:r>
      <w:r w:rsidRPr="004403BE">
        <w:rPr>
          <w:rFonts w:ascii="Times New Roman" w:hAnsi="Times New Roman"/>
          <w:sz w:val="24"/>
          <w:szCs w:val="24"/>
        </w:rPr>
        <w:t xml:space="preserve"> workforce.  </w:t>
      </w:r>
      <w:r w:rsidR="003870A1">
        <w:rPr>
          <w:rFonts w:ascii="Times New Roman" w:hAnsi="Times New Roman"/>
          <w:sz w:val="24"/>
          <w:szCs w:val="24"/>
        </w:rPr>
        <w:t xml:space="preserve">The following </w:t>
      </w:r>
      <w:r w:rsidR="000650D5">
        <w:rPr>
          <w:rFonts w:ascii="Times New Roman" w:hAnsi="Times New Roman"/>
          <w:sz w:val="24"/>
          <w:szCs w:val="24"/>
        </w:rPr>
        <w:t>summary</w:t>
      </w:r>
      <w:r w:rsidR="00EF5A9D">
        <w:rPr>
          <w:rFonts w:ascii="Times New Roman" w:hAnsi="Times New Roman"/>
          <w:sz w:val="24"/>
          <w:szCs w:val="24"/>
        </w:rPr>
        <w:t xml:space="preserve"> of the committee’s </w:t>
      </w:r>
      <w:r w:rsidR="0006253D">
        <w:rPr>
          <w:rFonts w:ascii="Times New Roman" w:hAnsi="Times New Roman"/>
          <w:sz w:val="24"/>
          <w:szCs w:val="24"/>
        </w:rPr>
        <w:t>ideas</w:t>
      </w:r>
      <w:r w:rsidR="00EF5A9D">
        <w:rPr>
          <w:rFonts w:ascii="Times New Roman" w:hAnsi="Times New Roman"/>
          <w:sz w:val="24"/>
          <w:szCs w:val="24"/>
        </w:rPr>
        <w:t xml:space="preserve"> reflects</w:t>
      </w:r>
      <w:r w:rsidR="000650D5">
        <w:rPr>
          <w:rFonts w:ascii="Times New Roman" w:hAnsi="Times New Roman"/>
          <w:sz w:val="24"/>
          <w:szCs w:val="24"/>
        </w:rPr>
        <w:t xml:space="preserve"> </w:t>
      </w:r>
      <w:r w:rsidR="0006253D">
        <w:rPr>
          <w:rFonts w:ascii="Times New Roman" w:hAnsi="Times New Roman"/>
          <w:sz w:val="24"/>
          <w:szCs w:val="24"/>
        </w:rPr>
        <w:t>several discussions about</w:t>
      </w:r>
      <w:r w:rsidR="003870A1">
        <w:rPr>
          <w:rFonts w:ascii="Times New Roman" w:hAnsi="Times New Roman"/>
          <w:sz w:val="24"/>
          <w:szCs w:val="24"/>
        </w:rPr>
        <w:t xml:space="preserve"> </w:t>
      </w:r>
      <w:r w:rsidR="003870A1" w:rsidRPr="003870A1">
        <w:rPr>
          <w:rFonts w:ascii="Times New Roman" w:hAnsi="Times New Roman"/>
          <w:sz w:val="24"/>
          <w:szCs w:val="24"/>
        </w:rPr>
        <w:t>graduate education.</w:t>
      </w:r>
    </w:p>
    <w:p w14:paraId="1827DB1C" w14:textId="77777777" w:rsidR="00033DBC" w:rsidRPr="005D75E5" w:rsidRDefault="00033DBC" w:rsidP="004C1CC3">
      <w:pPr>
        <w:spacing w:line="252" w:lineRule="auto"/>
        <w:rPr>
          <w:rFonts w:ascii="Times New Roman" w:hAnsi="Times New Roman"/>
          <w:b/>
          <w:bCs/>
          <w:i/>
          <w:sz w:val="24"/>
          <w:szCs w:val="24"/>
        </w:rPr>
      </w:pPr>
    </w:p>
    <w:p w14:paraId="4C0D8A00" w14:textId="2D8B618F" w:rsidR="004C1CC3" w:rsidRPr="005D75E5" w:rsidRDefault="004C1CC3" w:rsidP="004C1CC3">
      <w:pPr>
        <w:spacing w:line="252" w:lineRule="auto"/>
        <w:rPr>
          <w:rFonts w:ascii="Times New Roman" w:hAnsi="Times New Roman"/>
          <w:b/>
          <w:bCs/>
          <w:i/>
          <w:sz w:val="24"/>
          <w:szCs w:val="24"/>
        </w:rPr>
      </w:pPr>
      <w:r w:rsidRPr="005D75E5">
        <w:rPr>
          <w:rFonts w:ascii="Times New Roman" w:hAnsi="Times New Roman"/>
          <w:b/>
          <w:bCs/>
          <w:i/>
          <w:sz w:val="24"/>
          <w:szCs w:val="24"/>
        </w:rPr>
        <w:t xml:space="preserve">NSF </w:t>
      </w:r>
      <w:r w:rsidR="0006253D">
        <w:rPr>
          <w:rFonts w:ascii="Times New Roman" w:hAnsi="Times New Roman"/>
          <w:b/>
          <w:bCs/>
          <w:i/>
          <w:sz w:val="24"/>
          <w:szCs w:val="24"/>
        </w:rPr>
        <w:t>Support for</w:t>
      </w:r>
      <w:r w:rsidRPr="005D75E5">
        <w:rPr>
          <w:rFonts w:ascii="Times New Roman" w:hAnsi="Times New Roman"/>
          <w:b/>
          <w:bCs/>
          <w:i/>
          <w:sz w:val="24"/>
          <w:szCs w:val="24"/>
        </w:rPr>
        <w:t xml:space="preserve"> Graduate Education </w:t>
      </w:r>
    </w:p>
    <w:p w14:paraId="3E74111E" w14:textId="77777777" w:rsidR="004C1CC3" w:rsidRPr="005D75E5" w:rsidRDefault="004C1CC3" w:rsidP="004C1CC3">
      <w:pPr>
        <w:spacing w:line="252" w:lineRule="auto"/>
        <w:rPr>
          <w:rFonts w:ascii="Times New Roman" w:hAnsi="Times New Roman"/>
          <w:b/>
          <w:bCs/>
          <w:sz w:val="24"/>
          <w:szCs w:val="24"/>
        </w:rPr>
      </w:pPr>
    </w:p>
    <w:p w14:paraId="05C1940D" w14:textId="67E70AB0" w:rsidR="004C1CC3" w:rsidRPr="00F83425" w:rsidRDefault="004C1CC3" w:rsidP="00F83425">
      <w:pPr>
        <w:pStyle w:val="ListParagraph"/>
        <w:numPr>
          <w:ilvl w:val="0"/>
          <w:numId w:val="14"/>
        </w:numPr>
        <w:spacing w:line="252" w:lineRule="auto"/>
        <w:rPr>
          <w:rFonts w:ascii="Times New Roman" w:hAnsi="Times New Roman"/>
          <w:b/>
          <w:bCs/>
          <w:sz w:val="24"/>
          <w:szCs w:val="24"/>
        </w:rPr>
      </w:pPr>
      <w:r w:rsidRPr="00F83425">
        <w:rPr>
          <w:rFonts w:ascii="Times New Roman" w:hAnsi="Times New Roman"/>
          <w:b/>
          <w:bCs/>
          <w:sz w:val="24"/>
          <w:szCs w:val="24"/>
        </w:rPr>
        <w:t>Advanc</w:t>
      </w:r>
      <w:r w:rsidR="00AE79C8">
        <w:rPr>
          <w:rFonts w:ascii="Times New Roman" w:hAnsi="Times New Roman"/>
          <w:b/>
          <w:bCs/>
          <w:sz w:val="24"/>
          <w:szCs w:val="24"/>
        </w:rPr>
        <w:t>ing</w:t>
      </w:r>
      <w:r w:rsidRPr="00F83425">
        <w:rPr>
          <w:rFonts w:ascii="Times New Roman" w:hAnsi="Times New Roman"/>
          <w:b/>
          <w:bCs/>
          <w:sz w:val="24"/>
          <w:szCs w:val="24"/>
        </w:rPr>
        <w:t xml:space="preserve"> Science and Engineering (S&amp;E) Research</w:t>
      </w:r>
    </w:p>
    <w:p w14:paraId="6E597CA1" w14:textId="77777777" w:rsidR="004C1CC3" w:rsidRPr="005D75E5" w:rsidRDefault="004C1CC3" w:rsidP="004C1CC3">
      <w:pPr>
        <w:spacing w:line="252" w:lineRule="auto"/>
        <w:rPr>
          <w:rFonts w:ascii="Times New Roman" w:hAnsi="Times New Roman"/>
          <w:sz w:val="24"/>
          <w:szCs w:val="24"/>
        </w:rPr>
      </w:pPr>
    </w:p>
    <w:p w14:paraId="7A0F1862" w14:textId="580833CD" w:rsidR="004C1CC3" w:rsidRPr="005D75E5" w:rsidRDefault="004C1CC3" w:rsidP="004C1CC3">
      <w:pPr>
        <w:spacing w:line="252" w:lineRule="auto"/>
        <w:rPr>
          <w:rFonts w:ascii="Times New Roman" w:hAnsi="Times New Roman"/>
          <w:sz w:val="24"/>
          <w:szCs w:val="24"/>
        </w:rPr>
      </w:pPr>
      <w:r w:rsidRPr="005D75E5">
        <w:rPr>
          <w:rFonts w:ascii="Times New Roman" w:hAnsi="Times New Roman"/>
          <w:sz w:val="24"/>
          <w:szCs w:val="24"/>
        </w:rPr>
        <w:t xml:space="preserve">A </w:t>
      </w:r>
      <w:r w:rsidR="00B80C7A">
        <w:rPr>
          <w:rFonts w:ascii="Times New Roman" w:hAnsi="Times New Roman"/>
          <w:sz w:val="24"/>
          <w:szCs w:val="24"/>
        </w:rPr>
        <w:t xml:space="preserve">key </w:t>
      </w:r>
      <w:r w:rsidRPr="005D75E5">
        <w:rPr>
          <w:rFonts w:ascii="Times New Roman" w:hAnsi="Times New Roman"/>
          <w:sz w:val="24"/>
          <w:szCs w:val="24"/>
        </w:rPr>
        <w:t xml:space="preserve">goal of support </w:t>
      </w:r>
      <w:r w:rsidR="0006253D">
        <w:rPr>
          <w:rFonts w:ascii="Times New Roman" w:hAnsi="Times New Roman"/>
          <w:sz w:val="24"/>
          <w:szCs w:val="24"/>
        </w:rPr>
        <w:t>for</w:t>
      </w:r>
      <w:r w:rsidRPr="005D75E5">
        <w:rPr>
          <w:rFonts w:ascii="Times New Roman" w:hAnsi="Times New Roman"/>
          <w:sz w:val="24"/>
          <w:szCs w:val="24"/>
        </w:rPr>
        <w:t xml:space="preserve"> graduate students and graduate education is to advance research in all areas of S&amp;E so that graduate students </w:t>
      </w:r>
      <w:r w:rsidR="00871748">
        <w:rPr>
          <w:rFonts w:ascii="Times New Roman" w:hAnsi="Times New Roman"/>
          <w:sz w:val="24"/>
          <w:szCs w:val="24"/>
        </w:rPr>
        <w:t>develop the capacity for long-term contributions to the S&amp;E enterprise</w:t>
      </w:r>
      <w:r w:rsidR="00797304">
        <w:rPr>
          <w:rFonts w:ascii="Times New Roman" w:hAnsi="Times New Roman"/>
          <w:sz w:val="24"/>
          <w:szCs w:val="24"/>
        </w:rPr>
        <w:t xml:space="preserve">. </w:t>
      </w:r>
      <w:r w:rsidRPr="005D75E5">
        <w:rPr>
          <w:rFonts w:ascii="Times New Roman" w:hAnsi="Times New Roman"/>
          <w:sz w:val="24"/>
          <w:szCs w:val="24"/>
        </w:rPr>
        <w:t xml:space="preserve"> </w:t>
      </w:r>
      <w:r w:rsidR="00797304">
        <w:rPr>
          <w:rFonts w:ascii="Times New Roman" w:hAnsi="Times New Roman"/>
          <w:sz w:val="24"/>
          <w:szCs w:val="24"/>
        </w:rPr>
        <w:t xml:space="preserve">Several </w:t>
      </w:r>
      <w:r w:rsidRPr="005D75E5">
        <w:rPr>
          <w:rFonts w:ascii="Times New Roman" w:hAnsi="Times New Roman"/>
          <w:sz w:val="24"/>
          <w:szCs w:val="24"/>
        </w:rPr>
        <w:t xml:space="preserve">reports </w:t>
      </w:r>
      <w:r w:rsidR="00C46594">
        <w:rPr>
          <w:rFonts w:ascii="Times New Roman" w:hAnsi="Times New Roman"/>
          <w:sz w:val="24"/>
          <w:szCs w:val="24"/>
        </w:rPr>
        <w:t xml:space="preserve">listed at the end of this </w:t>
      </w:r>
      <w:r w:rsidRPr="005D75E5">
        <w:rPr>
          <w:rFonts w:ascii="Times New Roman" w:hAnsi="Times New Roman"/>
          <w:sz w:val="24"/>
          <w:szCs w:val="24"/>
        </w:rPr>
        <w:t xml:space="preserve">document </w:t>
      </w:r>
      <w:r w:rsidR="00C46594">
        <w:rPr>
          <w:rFonts w:ascii="Times New Roman" w:hAnsi="Times New Roman"/>
          <w:sz w:val="24"/>
          <w:szCs w:val="24"/>
        </w:rPr>
        <w:t xml:space="preserve">cite </w:t>
      </w:r>
      <w:r w:rsidRPr="005D75E5">
        <w:rPr>
          <w:rFonts w:ascii="Times New Roman" w:hAnsi="Times New Roman"/>
          <w:sz w:val="24"/>
          <w:szCs w:val="24"/>
        </w:rPr>
        <w:t xml:space="preserve">the need for highly-skilled individuals to meet growing </w:t>
      </w:r>
      <w:r w:rsidR="00871748">
        <w:rPr>
          <w:rFonts w:ascii="Times New Roman" w:hAnsi="Times New Roman"/>
          <w:sz w:val="24"/>
          <w:szCs w:val="24"/>
        </w:rPr>
        <w:t xml:space="preserve">national and </w:t>
      </w:r>
      <w:r w:rsidRPr="005D75E5">
        <w:rPr>
          <w:rFonts w:ascii="Times New Roman" w:hAnsi="Times New Roman"/>
          <w:sz w:val="24"/>
          <w:szCs w:val="24"/>
        </w:rPr>
        <w:t xml:space="preserve">global </w:t>
      </w:r>
      <w:r w:rsidR="00871748">
        <w:rPr>
          <w:rFonts w:ascii="Times New Roman" w:hAnsi="Times New Roman"/>
          <w:sz w:val="24"/>
          <w:szCs w:val="24"/>
        </w:rPr>
        <w:t xml:space="preserve">priorities. </w:t>
      </w:r>
      <w:r w:rsidRPr="005D75E5">
        <w:rPr>
          <w:rFonts w:ascii="Times New Roman" w:hAnsi="Times New Roman"/>
          <w:sz w:val="24"/>
          <w:szCs w:val="24"/>
        </w:rPr>
        <w:t xml:space="preserve">Addressing each of these challenges demands advanced disciplinary and interdisciplinary knowledge and models of graduate education that support </w:t>
      </w:r>
      <w:r w:rsidR="000650D5">
        <w:rPr>
          <w:rFonts w:ascii="Times New Roman" w:hAnsi="Times New Roman"/>
          <w:sz w:val="24"/>
          <w:szCs w:val="24"/>
        </w:rPr>
        <w:t xml:space="preserve">the </w:t>
      </w:r>
      <w:r w:rsidRPr="005D75E5">
        <w:rPr>
          <w:rFonts w:ascii="Times New Roman" w:hAnsi="Times New Roman"/>
          <w:sz w:val="24"/>
          <w:szCs w:val="24"/>
        </w:rPr>
        <w:t xml:space="preserve">individual development </w:t>
      </w:r>
      <w:r w:rsidR="000650D5">
        <w:rPr>
          <w:rFonts w:ascii="Times New Roman" w:hAnsi="Times New Roman"/>
          <w:sz w:val="24"/>
          <w:szCs w:val="24"/>
        </w:rPr>
        <w:t xml:space="preserve">of emerging scientists </w:t>
      </w:r>
      <w:r w:rsidRPr="005D75E5">
        <w:rPr>
          <w:rFonts w:ascii="Times New Roman" w:hAnsi="Times New Roman"/>
          <w:sz w:val="24"/>
          <w:szCs w:val="24"/>
        </w:rPr>
        <w:t>and their ability to contribute to the</w:t>
      </w:r>
      <w:r w:rsidR="00797304">
        <w:rPr>
          <w:rFonts w:ascii="Times New Roman" w:hAnsi="Times New Roman"/>
          <w:sz w:val="24"/>
          <w:szCs w:val="24"/>
        </w:rPr>
        <w:t xml:space="preserve"> national and</w:t>
      </w:r>
      <w:r w:rsidRPr="005D75E5">
        <w:rPr>
          <w:rFonts w:ascii="Times New Roman" w:hAnsi="Times New Roman"/>
          <w:sz w:val="24"/>
          <w:szCs w:val="24"/>
        </w:rPr>
        <w:t xml:space="preserve"> international S&amp;E enterprise.  </w:t>
      </w:r>
    </w:p>
    <w:p w14:paraId="30275705" w14:textId="77777777" w:rsidR="00271BBE" w:rsidRPr="005D75E5" w:rsidRDefault="00271BBE" w:rsidP="004C1CC3">
      <w:pPr>
        <w:spacing w:line="252" w:lineRule="auto"/>
        <w:rPr>
          <w:rFonts w:ascii="Times New Roman" w:hAnsi="Times New Roman"/>
          <w:sz w:val="24"/>
          <w:szCs w:val="24"/>
        </w:rPr>
      </w:pPr>
    </w:p>
    <w:p w14:paraId="37805BFB" w14:textId="552876D4" w:rsidR="004C1CC3" w:rsidRPr="00AE79C8" w:rsidRDefault="004C1CC3" w:rsidP="00AE79C8">
      <w:pPr>
        <w:pStyle w:val="ListParagraph"/>
        <w:numPr>
          <w:ilvl w:val="0"/>
          <w:numId w:val="14"/>
        </w:numPr>
        <w:spacing w:line="252" w:lineRule="auto"/>
        <w:rPr>
          <w:rFonts w:ascii="Times New Roman" w:hAnsi="Times New Roman"/>
          <w:b/>
          <w:sz w:val="24"/>
          <w:szCs w:val="24"/>
        </w:rPr>
      </w:pPr>
      <w:r w:rsidRPr="00AE79C8">
        <w:rPr>
          <w:rFonts w:ascii="Times New Roman" w:hAnsi="Times New Roman"/>
          <w:b/>
          <w:sz w:val="24"/>
          <w:szCs w:val="24"/>
        </w:rPr>
        <w:t>Broaden</w:t>
      </w:r>
      <w:r w:rsidR="00AE79C8" w:rsidRPr="00AE79C8">
        <w:rPr>
          <w:rFonts w:ascii="Times New Roman" w:hAnsi="Times New Roman"/>
          <w:b/>
          <w:sz w:val="24"/>
          <w:szCs w:val="24"/>
        </w:rPr>
        <w:t>ing</w:t>
      </w:r>
      <w:r w:rsidRPr="00AE79C8">
        <w:rPr>
          <w:rFonts w:ascii="Times New Roman" w:hAnsi="Times New Roman"/>
          <w:b/>
          <w:sz w:val="24"/>
          <w:szCs w:val="24"/>
        </w:rPr>
        <w:t xml:space="preserve"> Participation to Promote Exc</w:t>
      </w:r>
      <w:r w:rsidR="003870A1" w:rsidRPr="00AE79C8">
        <w:rPr>
          <w:rFonts w:ascii="Times New Roman" w:hAnsi="Times New Roman"/>
          <w:b/>
          <w:sz w:val="24"/>
          <w:szCs w:val="24"/>
        </w:rPr>
        <w:t>ellence in S&amp;E</w:t>
      </w:r>
      <w:r w:rsidRPr="00AE79C8">
        <w:rPr>
          <w:rFonts w:ascii="Times New Roman" w:hAnsi="Times New Roman"/>
          <w:b/>
          <w:sz w:val="24"/>
          <w:szCs w:val="24"/>
        </w:rPr>
        <w:t xml:space="preserve"> </w:t>
      </w:r>
    </w:p>
    <w:p w14:paraId="163F3FF5" w14:textId="77777777" w:rsidR="00AE79C8" w:rsidRDefault="00AE79C8" w:rsidP="00EC6222">
      <w:pPr>
        <w:spacing w:line="252" w:lineRule="auto"/>
        <w:rPr>
          <w:rFonts w:ascii="Times New Roman" w:hAnsi="Times New Roman"/>
          <w:sz w:val="24"/>
          <w:szCs w:val="24"/>
        </w:rPr>
      </w:pPr>
    </w:p>
    <w:p w14:paraId="52556F3E" w14:textId="77777777" w:rsidR="00EC6222" w:rsidRDefault="00EC6222" w:rsidP="00EC6222">
      <w:pPr>
        <w:spacing w:line="252" w:lineRule="auto"/>
        <w:rPr>
          <w:rFonts w:ascii="Times New Roman" w:hAnsi="Times New Roman"/>
          <w:sz w:val="24"/>
          <w:szCs w:val="24"/>
        </w:rPr>
      </w:pPr>
      <w:r w:rsidRPr="005D75E5">
        <w:rPr>
          <w:rFonts w:ascii="Times New Roman" w:hAnsi="Times New Roman"/>
          <w:sz w:val="24"/>
          <w:szCs w:val="24"/>
        </w:rPr>
        <w:t>The recent National Science Board report</w:t>
      </w:r>
      <w:r>
        <w:rPr>
          <w:rStyle w:val="FootnoteReference"/>
          <w:rFonts w:ascii="Times New Roman" w:hAnsi="Times New Roman"/>
          <w:sz w:val="24"/>
          <w:szCs w:val="24"/>
        </w:rPr>
        <w:footnoteReference w:id="1"/>
      </w:r>
      <w:r w:rsidRPr="005D75E5">
        <w:rPr>
          <w:rFonts w:ascii="Times New Roman" w:hAnsi="Times New Roman"/>
          <w:sz w:val="24"/>
          <w:szCs w:val="24"/>
        </w:rPr>
        <w:t xml:space="preserve"> </w:t>
      </w:r>
      <w:r w:rsidRPr="00EC6222">
        <w:rPr>
          <w:rFonts w:ascii="Times New Roman" w:hAnsi="Times New Roman"/>
          <w:i/>
          <w:sz w:val="24"/>
          <w:szCs w:val="24"/>
        </w:rPr>
        <w:t>Revisiting the STEM Workforce</w:t>
      </w:r>
      <w:r w:rsidR="00A967AD">
        <w:t xml:space="preserve"> </w:t>
      </w:r>
      <w:r w:rsidR="00A967AD" w:rsidRPr="00A967AD">
        <w:rPr>
          <w:rFonts w:ascii="Times New Roman" w:hAnsi="Times New Roman"/>
          <w:sz w:val="24"/>
          <w:szCs w:val="24"/>
        </w:rPr>
        <w:t>n</w:t>
      </w:r>
      <w:r>
        <w:rPr>
          <w:rFonts w:ascii="Times New Roman" w:hAnsi="Times New Roman"/>
          <w:sz w:val="24"/>
          <w:szCs w:val="24"/>
        </w:rPr>
        <w:t xml:space="preserve">oted that the </w:t>
      </w:r>
      <w:r w:rsidR="00A967AD">
        <w:rPr>
          <w:rFonts w:ascii="Times New Roman" w:hAnsi="Times New Roman"/>
          <w:sz w:val="24"/>
          <w:szCs w:val="24"/>
        </w:rPr>
        <w:t>future</w:t>
      </w:r>
      <w:r w:rsidR="003870A1">
        <w:rPr>
          <w:rFonts w:ascii="Times New Roman" w:hAnsi="Times New Roman"/>
          <w:sz w:val="24"/>
          <w:szCs w:val="24"/>
        </w:rPr>
        <w:t xml:space="preserve"> of the S&amp;E</w:t>
      </w:r>
      <w:r>
        <w:rPr>
          <w:rFonts w:ascii="Times New Roman" w:hAnsi="Times New Roman"/>
          <w:sz w:val="24"/>
          <w:szCs w:val="24"/>
        </w:rPr>
        <w:t xml:space="preserve"> workforce requires “</w:t>
      </w:r>
      <w:r w:rsidRPr="00EC6222">
        <w:rPr>
          <w:rFonts w:ascii="Times New Roman" w:hAnsi="Times New Roman"/>
          <w:sz w:val="24"/>
          <w:szCs w:val="24"/>
        </w:rPr>
        <w:t xml:space="preserve">that every individual in the United States is afforded the opportunity to reap the benefits of advancements in science and technology; second, that our ability to respond to national needs and remain globally competitive will require the capabilities and ingenuity of individuals of diverse backgrounds.” </w:t>
      </w:r>
    </w:p>
    <w:p w14:paraId="32998D2B" w14:textId="77777777" w:rsidR="00F44B7E" w:rsidRPr="00A967AD" w:rsidRDefault="00F44B7E" w:rsidP="00EC6222">
      <w:pPr>
        <w:spacing w:line="252" w:lineRule="auto"/>
      </w:pPr>
    </w:p>
    <w:p w14:paraId="47C976D3" w14:textId="6B6899E2" w:rsidR="004C1CC3" w:rsidRPr="005D75E5" w:rsidRDefault="00EC6222" w:rsidP="00EC6222">
      <w:pPr>
        <w:spacing w:line="252" w:lineRule="auto"/>
        <w:rPr>
          <w:rFonts w:ascii="Times New Roman" w:hAnsi="Times New Roman"/>
          <w:sz w:val="24"/>
          <w:szCs w:val="24"/>
        </w:rPr>
      </w:pPr>
      <w:r>
        <w:rPr>
          <w:rFonts w:ascii="Times New Roman" w:hAnsi="Times New Roman"/>
          <w:sz w:val="24"/>
          <w:szCs w:val="24"/>
        </w:rPr>
        <w:t>Further, t</w:t>
      </w:r>
      <w:r w:rsidR="00CF566F">
        <w:rPr>
          <w:rFonts w:ascii="Times New Roman" w:hAnsi="Times New Roman"/>
          <w:sz w:val="24"/>
          <w:szCs w:val="24"/>
        </w:rPr>
        <w:t>he</w:t>
      </w:r>
      <w:r w:rsidR="00CF566F" w:rsidRPr="005D75E5">
        <w:rPr>
          <w:rFonts w:ascii="Times New Roman" w:hAnsi="Times New Roman"/>
          <w:sz w:val="24"/>
          <w:szCs w:val="24"/>
        </w:rPr>
        <w:t xml:space="preserve"> NRC study </w:t>
      </w:r>
      <w:r w:rsidR="00CF566F" w:rsidRPr="005D75E5">
        <w:rPr>
          <w:rFonts w:ascii="Times New Roman" w:hAnsi="Times New Roman"/>
          <w:i/>
          <w:sz w:val="24"/>
          <w:szCs w:val="24"/>
        </w:rPr>
        <w:t>The Science of Team Science</w:t>
      </w:r>
      <w:r w:rsidR="00CF566F" w:rsidRPr="005D75E5">
        <w:rPr>
          <w:rFonts w:ascii="Times New Roman" w:hAnsi="Times New Roman"/>
          <w:sz w:val="24"/>
          <w:szCs w:val="24"/>
        </w:rPr>
        <w:t xml:space="preserve">, </w:t>
      </w:r>
      <w:r w:rsidR="00074C1F">
        <w:rPr>
          <w:rFonts w:ascii="Times New Roman" w:hAnsi="Times New Roman"/>
          <w:sz w:val="24"/>
          <w:szCs w:val="24"/>
        </w:rPr>
        <w:t xml:space="preserve"> and other sources</w:t>
      </w:r>
      <w:r w:rsidR="00074C1F">
        <w:rPr>
          <w:rStyle w:val="FootnoteReference"/>
          <w:rFonts w:ascii="Times New Roman" w:hAnsi="Times New Roman"/>
          <w:sz w:val="24"/>
          <w:szCs w:val="24"/>
        </w:rPr>
        <w:footnoteReference w:id="2"/>
      </w:r>
      <w:r w:rsidR="00074C1F">
        <w:rPr>
          <w:rFonts w:ascii="Times New Roman" w:hAnsi="Times New Roman"/>
          <w:sz w:val="24"/>
          <w:szCs w:val="24"/>
        </w:rPr>
        <w:t xml:space="preserve"> </w:t>
      </w:r>
      <w:r w:rsidR="00CF566F">
        <w:rPr>
          <w:rFonts w:ascii="Times New Roman" w:hAnsi="Times New Roman"/>
          <w:sz w:val="24"/>
          <w:szCs w:val="24"/>
        </w:rPr>
        <w:t xml:space="preserve">emphasize that </w:t>
      </w:r>
      <w:r w:rsidR="00EA1438">
        <w:rPr>
          <w:rFonts w:ascii="Times New Roman" w:hAnsi="Times New Roman"/>
          <w:sz w:val="24"/>
          <w:szCs w:val="24"/>
        </w:rPr>
        <w:t xml:space="preserve">the inclusion of people from diverse backgrounds and perspectives </w:t>
      </w:r>
      <w:r w:rsidR="00CF566F">
        <w:rPr>
          <w:rFonts w:ascii="Times New Roman" w:hAnsi="Times New Roman"/>
          <w:sz w:val="24"/>
          <w:szCs w:val="24"/>
        </w:rPr>
        <w:t xml:space="preserve">in scientific teams </w:t>
      </w:r>
      <w:r w:rsidR="00CF566F" w:rsidRPr="005D75E5">
        <w:rPr>
          <w:rFonts w:ascii="Times New Roman" w:hAnsi="Times New Roman"/>
          <w:sz w:val="24"/>
          <w:szCs w:val="24"/>
        </w:rPr>
        <w:t xml:space="preserve">increases research productivity and innovation by </w:t>
      </w:r>
      <w:r w:rsidR="00CF566F">
        <w:rPr>
          <w:rFonts w:ascii="Times New Roman" w:hAnsi="Times New Roman"/>
          <w:sz w:val="24"/>
          <w:szCs w:val="24"/>
        </w:rPr>
        <w:t>introducing</w:t>
      </w:r>
      <w:r w:rsidR="00CF566F" w:rsidRPr="005D75E5">
        <w:rPr>
          <w:rFonts w:ascii="Times New Roman" w:hAnsi="Times New Roman"/>
          <w:sz w:val="24"/>
          <w:szCs w:val="24"/>
        </w:rPr>
        <w:t xml:space="preserve"> </w:t>
      </w:r>
      <w:r w:rsidR="00CF566F">
        <w:rPr>
          <w:rFonts w:ascii="Times New Roman" w:hAnsi="Times New Roman"/>
          <w:sz w:val="24"/>
          <w:szCs w:val="24"/>
        </w:rPr>
        <w:t>creative</w:t>
      </w:r>
      <w:r w:rsidR="00CF566F" w:rsidRPr="005D75E5">
        <w:rPr>
          <w:rFonts w:ascii="Times New Roman" w:hAnsi="Times New Roman"/>
          <w:sz w:val="24"/>
          <w:szCs w:val="24"/>
        </w:rPr>
        <w:t xml:space="preserve"> perspectives and </w:t>
      </w:r>
      <w:r w:rsidR="00CF566F">
        <w:rPr>
          <w:rFonts w:ascii="Times New Roman" w:hAnsi="Times New Roman"/>
          <w:sz w:val="24"/>
          <w:szCs w:val="24"/>
        </w:rPr>
        <w:t xml:space="preserve">diverse </w:t>
      </w:r>
      <w:r w:rsidR="00CF566F" w:rsidRPr="005D75E5">
        <w:rPr>
          <w:rFonts w:ascii="Times New Roman" w:hAnsi="Times New Roman"/>
          <w:sz w:val="24"/>
          <w:szCs w:val="24"/>
        </w:rPr>
        <w:t>modes of thinking.</w:t>
      </w:r>
      <w:r w:rsidR="00CF566F" w:rsidRPr="005D75E5">
        <w:rPr>
          <w:rStyle w:val="FootnoteReference"/>
          <w:rFonts w:ascii="Times New Roman" w:hAnsi="Times New Roman"/>
          <w:sz w:val="24"/>
          <w:szCs w:val="24"/>
        </w:rPr>
        <w:footnoteReference w:id="3"/>
      </w:r>
      <w:r w:rsidR="00CF566F" w:rsidRPr="005D75E5">
        <w:rPr>
          <w:rFonts w:ascii="Times New Roman" w:hAnsi="Times New Roman"/>
          <w:sz w:val="24"/>
          <w:szCs w:val="24"/>
        </w:rPr>
        <w:t xml:space="preserve"> </w:t>
      </w:r>
      <w:r w:rsidR="00AD73C6">
        <w:rPr>
          <w:rFonts w:ascii="Times New Roman" w:hAnsi="Times New Roman"/>
          <w:b/>
          <w:sz w:val="24"/>
          <w:szCs w:val="24"/>
        </w:rPr>
        <w:t>B</w:t>
      </w:r>
      <w:r w:rsidR="00B80C7A" w:rsidRPr="005D75E5">
        <w:rPr>
          <w:rFonts w:ascii="Times New Roman" w:hAnsi="Times New Roman"/>
          <w:sz w:val="24"/>
          <w:szCs w:val="24"/>
        </w:rPr>
        <w:t xml:space="preserve">roadening participation </w:t>
      </w:r>
      <w:r w:rsidR="00A967AD">
        <w:rPr>
          <w:rFonts w:ascii="Times New Roman" w:hAnsi="Times New Roman"/>
          <w:sz w:val="24"/>
          <w:szCs w:val="24"/>
        </w:rPr>
        <w:t>remains</w:t>
      </w:r>
      <w:r w:rsidR="00B80C7A" w:rsidRPr="005D75E5">
        <w:rPr>
          <w:rFonts w:ascii="Times New Roman" w:hAnsi="Times New Roman"/>
          <w:sz w:val="24"/>
          <w:szCs w:val="24"/>
        </w:rPr>
        <w:t xml:space="preserve"> an </w:t>
      </w:r>
      <w:r w:rsidR="00A967AD">
        <w:rPr>
          <w:rFonts w:ascii="Times New Roman" w:hAnsi="Times New Roman"/>
          <w:sz w:val="24"/>
          <w:szCs w:val="24"/>
        </w:rPr>
        <w:t xml:space="preserve">indispensable </w:t>
      </w:r>
      <w:r w:rsidR="00B80C7A" w:rsidRPr="005D75E5">
        <w:rPr>
          <w:rFonts w:ascii="Times New Roman" w:hAnsi="Times New Roman"/>
          <w:sz w:val="24"/>
          <w:szCs w:val="24"/>
        </w:rPr>
        <w:t>asset</w:t>
      </w:r>
      <w:r w:rsidR="005E7D01">
        <w:rPr>
          <w:rFonts w:ascii="Times New Roman" w:hAnsi="Times New Roman"/>
          <w:sz w:val="24"/>
          <w:szCs w:val="24"/>
        </w:rPr>
        <w:t xml:space="preserve"> and critical challenge</w:t>
      </w:r>
      <w:r w:rsidR="00B80C7A" w:rsidRPr="005D75E5">
        <w:rPr>
          <w:rFonts w:ascii="Times New Roman" w:hAnsi="Times New Roman"/>
          <w:sz w:val="24"/>
          <w:szCs w:val="24"/>
        </w:rPr>
        <w:t xml:space="preserve"> </w:t>
      </w:r>
      <w:r w:rsidR="00B80C7A">
        <w:rPr>
          <w:rFonts w:ascii="Times New Roman" w:hAnsi="Times New Roman"/>
          <w:sz w:val="24"/>
          <w:szCs w:val="24"/>
        </w:rPr>
        <w:t>for</w:t>
      </w:r>
      <w:r w:rsidR="00B80C7A" w:rsidRPr="005D75E5">
        <w:rPr>
          <w:rFonts w:ascii="Times New Roman" w:hAnsi="Times New Roman"/>
          <w:sz w:val="24"/>
          <w:szCs w:val="24"/>
        </w:rPr>
        <w:t xml:space="preserve"> </w:t>
      </w:r>
      <w:r w:rsidR="00A967AD">
        <w:rPr>
          <w:rFonts w:ascii="Times New Roman" w:hAnsi="Times New Roman"/>
          <w:sz w:val="24"/>
          <w:szCs w:val="24"/>
        </w:rPr>
        <w:lastRenderedPageBreak/>
        <w:t>promoting the</w:t>
      </w:r>
      <w:r w:rsidR="00B80C7A" w:rsidRPr="005D75E5">
        <w:rPr>
          <w:rFonts w:ascii="Times New Roman" w:hAnsi="Times New Roman"/>
          <w:sz w:val="24"/>
          <w:szCs w:val="24"/>
        </w:rPr>
        <w:t xml:space="preserve"> Nation’s scientific and engineering research </w:t>
      </w:r>
      <w:r w:rsidR="00CF566F">
        <w:rPr>
          <w:rFonts w:ascii="Times New Roman" w:hAnsi="Times New Roman"/>
          <w:sz w:val="24"/>
          <w:szCs w:val="24"/>
        </w:rPr>
        <w:t>enterprise</w:t>
      </w:r>
      <w:r w:rsidR="00B80C7A" w:rsidRPr="005D75E5">
        <w:rPr>
          <w:rFonts w:ascii="Times New Roman" w:hAnsi="Times New Roman"/>
          <w:sz w:val="24"/>
          <w:szCs w:val="24"/>
        </w:rPr>
        <w:t>.</w:t>
      </w:r>
      <w:r w:rsidR="00B80C7A">
        <w:rPr>
          <w:rFonts w:ascii="Times New Roman" w:hAnsi="Times New Roman"/>
          <w:sz w:val="24"/>
          <w:szCs w:val="24"/>
        </w:rPr>
        <w:t xml:space="preserve"> </w:t>
      </w:r>
      <w:r w:rsidR="00AD73C6">
        <w:rPr>
          <w:rFonts w:ascii="Times New Roman" w:hAnsi="Times New Roman"/>
          <w:sz w:val="24"/>
          <w:szCs w:val="24"/>
        </w:rPr>
        <w:t xml:space="preserve">Qualified graduate students should be </w:t>
      </w:r>
      <w:r w:rsidR="00797304">
        <w:rPr>
          <w:rFonts w:ascii="Times New Roman" w:hAnsi="Times New Roman"/>
          <w:sz w:val="24"/>
          <w:szCs w:val="24"/>
        </w:rPr>
        <w:t xml:space="preserve">broadly </w:t>
      </w:r>
      <w:r w:rsidR="00AD73C6">
        <w:rPr>
          <w:rFonts w:ascii="Times New Roman" w:hAnsi="Times New Roman"/>
          <w:sz w:val="24"/>
          <w:szCs w:val="24"/>
        </w:rPr>
        <w:t>recruited from a variety of geographic, demographic, social, and educational backgrounds.</w:t>
      </w:r>
      <w:r w:rsidR="00B80C7A">
        <w:rPr>
          <w:rFonts w:ascii="Times New Roman" w:hAnsi="Times New Roman"/>
          <w:sz w:val="24"/>
          <w:szCs w:val="24"/>
        </w:rPr>
        <w:t xml:space="preserve"> </w:t>
      </w:r>
    </w:p>
    <w:p w14:paraId="16E04C14" w14:textId="77777777" w:rsidR="004C1CC3" w:rsidRPr="005D75E5" w:rsidRDefault="00CF566F" w:rsidP="004C1CC3">
      <w:pPr>
        <w:spacing w:line="252" w:lineRule="auto"/>
        <w:rPr>
          <w:rFonts w:ascii="Times New Roman" w:hAnsi="Times New Roman"/>
          <w:b/>
          <w:sz w:val="24"/>
          <w:szCs w:val="24"/>
        </w:rPr>
      </w:pPr>
      <w:r>
        <w:rPr>
          <w:rFonts w:ascii="Times New Roman" w:hAnsi="Times New Roman"/>
          <w:b/>
          <w:sz w:val="24"/>
          <w:szCs w:val="24"/>
        </w:rPr>
        <w:t xml:space="preserve"> </w:t>
      </w:r>
    </w:p>
    <w:p w14:paraId="35D3636C" w14:textId="458B9C30" w:rsidR="004C1CC3" w:rsidRPr="005D75E5" w:rsidRDefault="004C1CC3" w:rsidP="00F83425">
      <w:pPr>
        <w:pStyle w:val="Default"/>
        <w:numPr>
          <w:ilvl w:val="0"/>
          <w:numId w:val="14"/>
        </w:numPr>
        <w:spacing w:line="252" w:lineRule="auto"/>
        <w:rPr>
          <w:rFonts w:ascii="Times New Roman" w:hAnsi="Times New Roman" w:cs="Times New Roman"/>
        </w:rPr>
      </w:pPr>
      <w:r w:rsidRPr="005D75E5">
        <w:rPr>
          <w:rFonts w:ascii="Times New Roman" w:hAnsi="Times New Roman" w:cs="Times New Roman"/>
          <w:b/>
          <w:bCs/>
        </w:rPr>
        <w:t>Advan</w:t>
      </w:r>
      <w:r w:rsidR="00AE79C8">
        <w:rPr>
          <w:rFonts w:ascii="Times New Roman" w:hAnsi="Times New Roman" w:cs="Times New Roman"/>
          <w:b/>
          <w:bCs/>
        </w:rPr>
        <w:t>cing</w:t>
      </w:r>
      <w:r w:rsidRPr="005D75E5">
        <w:rPr>
          <w:rFonts w:ascii="Times New Roman" w:hAnsi="Times New Roman" w:cs="Times New Roman"/>
          <w:b/>
          <w:bCs/>
        </w:rPr>
        <w:t xml:space="preserve"> Research on Graduate Education and Workforce Development</w:t>
      </w:r>
    </w:p>
    <w:p w14:paraId="0999FD01" w14:textId="77777777" w:rsidR="004C1CC3" w:rsidRPr="005D75E5" w:rsidRDefault="004C1CC3" w:rsidP="004C1CC3">
      <w:pPr>
        <w:pStyle w:val="Default"/>
        <w:spacing w:line="252" w:lineRule="auto"/>
        <w:rPr>
          <w:rFonts w:ascii="Times New Roman" w:hAnsi="Times New Roman" w:cs="Times New Roman"/>
          <w:i/>
        </w:rPr>
      </w:pPr>
    </w:p>
    <w:p w14:paraId="738BCFE0" w14:textId="29973CE8" w:rsidR="004C1CC3" w:rsidRPr="005D75E5" w:rsidRDefault="004C1CC3" w:rsidP="004C1CC3">
      <w:pPr>
        <w:pStyle w:val="Default"/>
        <w:spacing w:line="252" w:lineRule="auto"/>
        <w:rPr>
          <w:rFonts w:ascii="Times New Roman" w:hAnsi="Times New Roman" w:cs="Times New Roman"/>
        </w:rPr>
      </w:pPr>
      <w:r w:rsidRPr="005D75E5">
        <w:rPr>
          <w:rFonts w:ascii="Times New Roman" w:hAnsi="Times New Roman" w:cs="Times New Roman"/>
        </w:rPr>
        <w:t>Graduate education and training should prepare students for the changing nature of the conduct of science, the increased need for interdisciplinary as well as disciplinary work, the tradition of scholarship that is core to graduate training, and the preparation needed for diverse career paths in R&amp;D</w:t>
      </w:r>
      <w:r w:rsidR="00797304">
        <w:rPr>
          <w:rFonts w:ascii="Times New Roman" w:hAnsi="Times New Roman" w:cs="Times New Roman"/>
        </w:rPr>
        <w:t xml:space="preserve"> including science policy</w:t>
      </w:r>
      <w:r w:rsidRPr="005D75E5">
        <w:rPr>
          <w:rFonts w:ascii="Times New Roman" w:hAnsi="Times New Roman" w:cs="Times New Roman"/>
        </w:rPr>
        <w:t xml:space="preserve">, academia, </w:t>
      </w:r>
      <w:r w:rsidR="00797304">
        <w:rPr>
          <w:rFonts w:ascii="Times New Roman" w:hAnsi="Times New Roman" w:cs="Times New Roman"/>
        </w:rPr>
        <w:t>the private sector</w:t>
      </w:r>
      <w:r w:rsidR="000650D5">
        <w:rPr>
          <w:rFonts w:ascii="Times New Roman" w:hAnsi="Times New Roman" w:cs="Times New Roman"/>
        </w:rPr>
        <w:t>,</w:t>
      </w:r>
      <w:r w:rsidR="00FB3688">
        <w:rPr>
          <w:rFonts w:ascii="Times New Roman" w:hAnsi="Times New Roman" w:cs="Times New Roman"/>
        </w:rPr>
        <w:t xml:space="preserve"> </w:t>
      </w:r>
      <w:r w:rsidR="00797304">
        <w:rPr>
          <w:rFonts w:ascii="Times New Roman" w:hAnsi="Times New Roman" w:cs="Times New Roman"/>
        </w:rPr>
        <w:t xml:space="preserve">and </w:t>
      </w:r>
      <w:r w:rsidRPr="005D75E5">
        <w:rPr>
          <w:rFonts w:ascii="Times New Roman" w:hAnsi="Times New Roman" w:cs="Times New Roman"/>
        </w:rPr>
        <w:t>federal</w:t>
      </w:r>
      <w:r w:rsidR="00797304">
        <w:rPr>
          <w:rFonts w:ascii="Times New Roman" w:hAnsi="Times New Roman" w:cs="Times New Roman"/>
        </w:rPr>
        <w:t>, state and local</w:t>
      </w:r>
      <w:r w:rsidRPr="005D75E5">
        <w:rPr>
          <w:rFonts w:ascii="Times New Roman" w:hAnsi="Times New Roman" w:cs="Times New Roman"/>
        </w:rPr>
        <w:t xml:space="preserve"> government. </w:t>
      </w:r>
    </w:p>
    <w:p w14:paraId="55B2AD46" w14:textId="77777777" w:rsidR="004C1CC3" w:rsidRPr="005D75E5" w:rsidRDefault="004C1CC3" w:rsidP="004C1CC3">
      <w:pPr>
        <w:pStyle w:val="Default"/>
        <w:spacing w:line="252" w:lineRule="auto"/>
        <w:rPr>
          <w:rFonts w:ascii="Times New Roman" w:hAnsi="Times New Roman" w:cs="Times New Roman"/>
        </w:rPr>
      </w:pPr>
    </w:p>
    <w:p w14:paraId="42AE3BA8" w14:textId="0FA98246" w:rsidR="004C1CC3" w:rsidRPr="005D75E5" w:rsidRDefault="004C1CC3" w:rsidP="004C1CC3">
      <w:pPr>
        <w:spacing w:line="252" w:lineRule="auto"/>
        <w:rPr>
          <w:rFonts w:ascii="Times New Roman" w:hAnsi="Times New Roman"/>
          <w:sz w:val="24"/>
          <w:szCs w:val="24"/>
        </w:rPr>
      </w:pPr>
      <w:r w:rsidRPr="005D75E5">
        <w:rPr>
          <w:rFonts w:ascii="Times New Roman" w:hAnsi="Times New Roman"/>
          <w:sz w:val="24"/>
          <w:szCs w:val="24"/>
        </w:rPr>
        <w:t xml:space="preserve">Investments in graduate education should </w:t>
      </w:r>
      <w:r w:rsidR="00A967AD">
        <w:rPr>
          <w:rFonts w:ascii="Times New Roman" w:hAnsi="Times New Roman"/>
          <w:sz w:val="24"/>
          <w:szCs w:val="24"/>
        </w:rPr>
        <w:t>be informed by research and evaluation t</w:t>
      </w:r>
      <w:r w:rsidR="0041527A">
        <w:rPr>
          <w:rFonts w:ascii="Times New Roman" w:hAnsi="Times New Roman"/>
          <w:sz w:val="24"/>
          <w:szCs w:val="24"/>
        </w:rPr>
        <w:t>hat</w:t>
      </w:r>
      <w:r w:rsidR="00A967AD">
        <w:rPr>
          <w:rFonts w:ascii="Times New Roman" w:hAnsi="Times New Roman"/>
          <w:sz w:val="24"/>
          <w:szCs w:val="24"/>
        </w:rPr>
        <w:t xml:space="preserve"> best </w:t>
      </w:r>
      <w:r w:rsidRPr="005D75E5">
        <w:rPr>
          <w:rFonts w:ascii="Times New Roman" w:hAnsi="Times New Roman"/>
          <w:sz w:val="24"/>
          <w:szCs w:val="24"/>
        </w:rPr>
        <w:t>support</w:t>
      </w:r>
      <w:r w:rsidR="0041527A">
        <w:rPr>
          <w:rFonts w:ascii="Times New Roman" w:hAnsi="Times New Roman"/>
          <w:sz w:val="24"/>
          <w:szCs w:val="24"/>
        </w:rPr>
        <w:t>s</w:t>
      </w:r>
      <w:r w:rsidRPr="005D75E5">
        <w:rPr>
          <w:rFonts w:ascii="Times New Roman" w:hAnsi="Times New Roman"/>
          <w:sz w:val="24"/>
          <w:szCs w:val="24"/>
        </w:rPr>
        <w:t xml:space="preserve"> the next generation of “discoverers” </w:t>
      </w:r>
      <w:r w:rsidR="0006253D">
        <w:rPr>
          <w:rFonts w:ascii="Times New Roman" w:hAnsi="Times New Roman"/>
          <w:sz w:val="24"/>
          <w:szCs w:val="24"/>
        </w:rPr>
        <w:t>as well as discoveries.</w:t>
      </w:r>
      <w:r w:rsidRPr="005D75E5">
        <w:rPr>
          <w:rFonts w:ascii="Times New Roman" w:hAnsi="Times New Roman"/>
          <w:sz w:val="24"/>
          <w:szCs w:val="24"/>
        </w:rPr>
        <w:t xml:space="preserve"> Graduate education </w:t>
      </w:r>
      <w:r w:rsidR="0041527A">
        <w:rPr>
          <w:rFonts w:ascii="Times New Roman" w:hAnsi="Times New Roman"/>
          <w:sz w:val="24"/>
          <w:szCs w:val="24"/>
        </w:rPr>
        <w:t xml:space="preserve">should respond to </w:t>
      </w:r>
      <w:r w:rsidR="0041527A" w:rsidRPr="005D75E5">
        <w:rPr>
          <w:rFonts w:ascii="Times New Roman" w:hAnsi="Times New Roman"/>
          <w:sz w:val="24"/>
          <w:szCs w:val="24"/>
        </w:rPr>
        <w:t xml:space="preserve">increasingly limited </w:t>
      </w:r>
      <w:r w:rsidR="0041527A">
        <w:rPr>
          <w:rFonts w:ascii="Times New Roman" w:hAnsi="Times New Roman"/>
          <w:sz w:val="24"/>
          <w:szCs w:val="24"/>
        </w:rPr>
        <w:t xml:space="preserve">career </w:t>
      </w:r>
      <w:r w:rsidR="0041527A" w:rsidRPr="005D75E5">
        <w:rPr>
          <w:rFonts w:ascii="Times New Roman" w:hAnsi="Times New Roman"/>
          <w:sz w:val="24"/>
          <w:szCs w:val="24"/>
        </w:rPr>
        <w:t>opportunities in academia</w:t>
      </w:r>
      <w:r w:rsidR="0041527A">
        <w:rPr>
          <w:rFonts w:ascii="Times New Roman" w:hAnsi="Times New Roman"/>
          <w:sz w:val="24"/>
          <w:szCs w:val="24"/>
        </w:rPr>
        <w:t xml:space="preserve"> by</w:t>
      </w:r>
      <w:r w:rsidR="0041527A" w:rsidRPr="005D75E5">
        <w:rPr>
          <w:rFonts w:ascii="Times New Roman" w:hAnsi="Times New Roman"/>
          <w:sz w:val="24"/>
          <w:szCs w:val="24"/>
        </w:rPr>
        <w:t xml:space="preserve"> </w:t>
      </w:r>
      <w:r w:rsidR="0041527A">
        <w:rPr>
          <w:rFonts w:ascii="Times New Roman" w:hAnsi="Times New Roman"/>
          <w:sz w:val="24"/>
          <w:szCs w:val="24"/>
        </w:rPr>
        <w:t xml:space="preserve">preparing the next generation of </w:t>
      </w:r>
      <w:r w:rsidRPr="005D75E5">
        <w:rPr>
          <w:rFonts w:ascii="Times New Roman" w:hAnsi="Times New Roman"/>
          <w:sz w:val="24"/>
          <w:szCs w:val="24"/>
        </w:rPr>
        <w:t>discoverers to tackle complex challenges</w:t>
      </w:r>
      <w:r w:rsidR="00FB3688">
        <w:rPr>
          <w:rFonts w:ascii="Times New Roman" w:hAnsi="Times New Roman"/>
          <w:sz w:val="24"/>
          <w:szCs w:val="24"/>
        </w:rPr>
        <w:t xml:space="preserve"> that require both disciplinary and interdisciplinary training</w:t>
      </w:r>
      <w:r w:rsidRPr="005D75E5">
        <w:rPr>
          <w:rFonts w:ascii="Times New Roman" w:hAnsi="Times New Roman"/>
          <w:sz w:val="24"/>
          <w:szCs w:val="24"/>
        </w:rPr>
        <w:t xml:space="preserve"> </w:t>
      </w:r>
      <w:r w:rsidR="00FB3688">
        <w:rPr>
          <w:rFonts w:ascii="Times New Roman" w:hAnsi="Times New Roman"/>
          <w:sz w:val="24"/>
          <w:szCs w:val="24"/>
        </w:rPr>
        <w:t>for</w:t>
      </w:r>
      <w:r w:rsidR="0041527A">
        <w:rPr>
          <w:rFonts w:ascii="Times New Roman" w:hAnsi="Times New Roman"/>
          <w:sz w:val="24"/>
          <w:szCs w:val="24"/>
        </w:rPr>
        <w:t xml:space="preserve"> </w:t>
      </w:r>
      <w:r w:rsidRPr="005D75E5">
        <w:rPr>
          <w:rFonts w:ascii="Times New Roman" w:hAnsi="Times New Roman"/>
          <w:sz w:val="24"/>
          <w:szCs w:val="24"/>
        </w:rPr>
        <w:t>a diverse, knowledge-based and innovation-driven economy</w:t>
      </w:r>
      <w:r w:rsidR="0041527A">
        <w:rPr>
          <w:rFonts w:ascii="Times New Roman" w:hAnsi="Times New Roman"/>
          <w:sz w:val="24"/>
          <w:szCs w:val="24"/>
        </w:rPr>
        <w:t>.</w:t>
      </w:r>
      <w:bookmarkStart w:id="0" w:name="_GoBack"/>
      <w:bookmarkEnd w:id="0"/>
    </w:p>
    <w:p w14:paraId="31338515" w14:textId="77777777" w:rsidR="00271BBE" w:rsidRPr="005D75E5" w:rsidRDefault="00271BBE" w:rsidP="004C1CC3">
      <w:pPr>
        <w:spacing w:line="252" w:lineRule="auto"/>
        <w:rPr>
          <w:rFonts w:ascii="Times New Roman" w:hAnsi="Times New Roman"/>
          <w:sz w:val="24"/>
          <w:szCs w:val="24"/>
        </w:rPr>
      </w:pPr>
    </w:p>
    <w:p w14:paraId="2085436F" w14:textId="7762999A" w:rsidR="004C1CC3" w:rsidRPr="00F83425" w:rsidRDefault="00FB3688" w:rsidP="00F83425">
      <w:pPr>
        <w:pStyle w:val="ListParagraph"/>
        <w:numPr>
          <w:ilvl w:val="0"/>
          <w:numId w:val="14"/>
        </w:numPr>
        <w:spacing w:line="252" w:lineRule="auto"/>
        <w:rPr>
          <w:rFonts w:ascii="Times New Roman" w:hAnsi="Times New Roman"/>
          <w:b/>
          <w:sz w:val="24"/>
          <w:szCs w:val="24"/>
        </w:rPr>
      </w:pPr>
      <w:r w:rsidRPr="00F83425">
        <w:rPr>
          <w:rFonts w:ascii="Times New Roman" w:hAnsi="Times New Roman"/>
          <w:b/>
          <w:sz w:val="24"/>
          <w:szCs w:val="24"/>
        </w:rPr>
        <w:t>Improv</w:t>
      </w:r>
      <w:r w:rsidR="00AE79C8">
        <w:rPr>
          <w:rFonts w:ascii="Times New Roman" w:hAnsi="Times New Roman"/>
          <w:b/>
          <w:sz w:val="24"/>
          <w:szCs w:val="24"/>
        </w:rPr>
        <w:t>ing</w:t>
      </w:r>
      <w:r w:rsidR="004C1CC3" w:rsidRPr="00F83425">
        <w:rPr>
          <w:rFonts w:ascii="Times New Roman" w:hAnsi="Times New Roman"/>
          <w:b/>
          <w:sz w:val="24"/>
          <w:szCs w:val="24"/>
        </w:rPr>
        <w:t xml:space="preserve"> </w:t>
      </w:r>
      <w:r w:rsidR="00AE79C8">
        <w:rPr>
          <w:rFonts w:ascii="Times New Roman" w:hAnsi="Times New Roman"/>
          <w:b/>
          <w:sz w:val="24"/>
          <w:szCs w:val="24"/>
        </w:rPr>
        <w:t>Knowledge</w:t>
      </w:r>
      <w:r w:rsidR="003870A1" w:rsidRPr="00F83425">
        <w:rPr>
          <w:rFonts w:ascii="Times New Roman" w:hAnsi="Times New Roman"/>
          <w:b/>
          <w:sz w:val="24"/>
          <w:szCs w:val="24"/>
        </w:rPr>
        <w:t xml:space="preserve"> About </w:t>
      </w:r>
      <w:r w:rsidR="00AE79C8">
        <w:rPr>
          <w:rFonts w:ascii="Times New Roman" w:hAnsi="Times New Roman"/>
          <w:b/>
          <w:sz w:val="24"/>
          <w:szCs w:val="24"/>
        </w:rPr>
        <w:t xml:space="preserve">NSF </w:t>
      </w:r>
      <w:r w:rsidR="003870A1" w:rsidRPr="00F83425">
        <w:rPr>
          <w:rFonts w:ascii="Times New Roman" w:hAnsi="Times New Roman"/>
          <w:b/>
          <w:sz w:val="24"/>
          <w:szCs w:val="24"/>
        </w:rPr>
        <w:t>Investments in S&amp;E</w:t>
      </w:r>
      <w:r w:rsidR="004C1CC3" w:rsidRPr="00F83425">
        <w:rPr>
          <w:rFonts w:ascii="Times New Roman" w:hAnsi="Times New Roman"/>
          <w:b/>
          <w:sz w:val="24"/>
          <w:szCs w:val="24"/>
        </w:rPr>
        <w:t xml:space="preserve"> Graduate Education</w:t>
      </w:r>
    </w:p>
    <w:p w14:paraId="572A6804" w14:textId="77777777" w:rsidR="0006253D" w:rsidRDefault="0006253D" w:rsidP="00F15FF0">
      <w:pPr>
        <w:spacing w:line="252" w:lineRule="auto"/>
        <w:rPr>
          <w:rFonts w:ascii="Times New Roman" w:hAnsi="Times New Roman"/>
          <w:sz w:val="24"/>
          <w:szCs w:val="24"/>
        </w:rPr>
      </w:pPr>
    </w:p>
    <w:p w14:paraId="38955A1E" w14:textId="4FE6316B" w:rsidR="00074C1F" w:rsidRPr="00074C1F" w:rsidRDefault="0006253D" w:rsidP="00F15FF0">
      <w:pPr>
        <w:spacing w:line="252" w:lineRule="auto"/>
        <w:rPr>
          <w:rFonts w:ascii="Times New Roman" w:eastAsia="Times New Roman" w:hAnsi="Times New Roman"/>
          <w:sz w:val="24"/>
          <w:szCs w:val="24"/>
        </w:rPr>
      </w:pPr>
      <w:r>
        <w:rPr>
          <w:rFonts w:ascii="Times New Roman" w:hAnsi="Times New Roman"/>
          <w:sz w:val="24"/>
          <w:szCs w:val="24"/>
        </w:rPr>
        <w:t>I</w:t>
      </w:r>
      <w:r w:rsidR="00162803">
        <w:rPr>
          <w:rFonts w:ascii="Times New Roman" w:hAnsi="Times New Roman"/>
          <w:sz w:val="24"/>
          <w:szCs w:val="24"/>
        </w:rPr>
        <w:t>mproved</w:t>
      </w:r>
      <w:r w:rsidR="00A967AD" w:rsidRPr="005D75E5">
        <w:rPr>
          <w:rFonts w:ascii="Times New Roman" w:hAnsi="Times New Roman"/>
          <w:sz w:val="24"/>
          <w:szCs w:val="24"/>
        </w:rPr>
        <w:t xml:space="preserve"> data collection </w:t>
      </w:r>
      <w:r w:rsidR="00A967AD">
        <w:rPr>
          <w:rFonts w:ascii="Times New Roman" w:hAnsi="Times New Roman"/>
          <w:sz w:val="24"/>
          <w:szCs w:val="24"/>
        </w:rPr>
        <w:t>and analysis</w:t>
      </w:r>
      <w:r>
        <w:rPr>
          <w:rFonts w:ascii="Times New Roman" w:hAnsi="Times New Roman"/>
          <w:sz w:val="24"/>
          <w:szCs w:val="24"/>
        </w:rPr>
        <w:t xml:space="preserve"> are necessary</w:t>
      </w:r>
      <w:r w:rsidR="00A967AD">
        <w:rPr>
          <w:rFonts w:ascii="Times New Roman" w:hAnsi="Times New Roman"/>
          <w:sz w:val="24"/>
          <w:szCs w:val="24"/>
        </w:rPr>
        <w:t xml:space="preserve"> to model and optimize</w:t>
      </w:r>
      <w:r w:rsidR="001D60B6" w:rsidRPr="005D75E5">
        <w:rPr>
          <w:rFonts w:ascii="Times New Roman" w:hAnsi="Times New Roman"/>
          <w:sz w:val="24"/>
          <w:szCs w:val="24"/>
        </w:rPr>
        <w:t xml:space="preserve"> its </w:t>
      </w:r>
      <w:r w:rsidR="00A967AD">
        <w:rPr>
          <w:rFonts w:ascii="Times New Roman" w:hAnsi="Times New Roman"/>
          <w:sz w:val="24"/>
          <w:szCs w:val="24"/>
        </w:rPr>
        <w:t>multiple mechanisms for</w:t>
      </w:r>
      <w:r w:rsidR="001D60B6" w:rsidRPr="005D75E5">
        <w:rPr>
          <w:rFonts w:ascii="Times New Roman" w:hAnsi="Times New Roman"/>
          <w:sz w:val="24"/>
          <w:szCs w:val="24"/>
        </w:rPr>
        <w:t xml:space="preserve"> </w:t>
      </w:r>
      <w:r>
        <w:rPr>
          <w:rFonts w:ascii="Times New Roman" w:hAnsi="Times New Roman"/>
          <w:sz w:val="24"/>
          <w:szCs w:val="24"/>
        </w:rPr>
        <w:t xml:space="preserve">supporting </w:t>
      </w:r>
      <w:r w:rsidR="00A967AD">
        <w:rPr>
          <w:rFonts w:ascii="Times New Roman" w:hAnsi="Times New Roman"/>
          <w:sz w:val="24"/>
          <w:szCs w:val="24"/>
        </w:rPr>
        <w:t xml:space="preserve">graduate education. </w:t>
      </w:r>
      <w:r w:rsidR="00440F8F">
        <w:rPr>
          <w:rFonts w:ascii="Times New Roman" w:hAnsi="Times New Roman"/>
          <w:sz w:val="24"/>
          <w:szCs w:val="24"/>
        </w:rPr>
        <w:t>Better data collection</w:t>
      </w:r>
      <w:r w:rsidR="00E24E61">
        <w:rPr>
          <w:rFonts w:ascii="Times New Roman" w:hAnsi="Times New Roman"/>
          <w:sz w:val="24"/>
          <w:szCs w:val="24"/>
        </w:rPr>
        <w:t>, management,</w:t>
      </w:r>
      <w:r w:rsidR="00440F8F">
        <w:rPr>
          <w:rFonts w:ascii="Times New Roman" w:hAnsi="Times New Roman"/>
          <w:sz w:val="24"/>
          <w:szCs w:val="24"/>
        </w:rPr>
        <w:t xml:space="preserve"> </w:t>
      </w:r>
      <w:r w:rsidR="009158C6">
        <w:rPr>
          <w:rFonts w:ascii="Times New Roman" w:hAnsi="Times New Roman"/>
          <w:sz w:val="24"/>
          <w:szCs w:val="24"/>
        </w:rPr>
        <w:t xml:space="preserve">and analysis </w:t>
      </w:r>
      <w:r w:rsidR="00440F8F">
        <w:rPr>
          <w:rFonts w:ascii="Times New Roman" w:hAnsi="Times New Roman"/>
          <w:sz w:val="24"/>
          <w:szCs w:val="24"/>
        </w:rPr>
        <w:t xml:space="preserve">will help NSF </w:t>
      </w:r>
      <w:r w:rsidR="00A967AD">
        <w:rPr>
          <w:rFonts w:ascii="Times New Roman" w:hAnsi="Times New Roman"/>
          <w:sz w:val="24"/>
          <w:szCs w:val="24"/>
        </w:rPr>
        <w:t xml:space="preserve">understand </w:t>
      </w:r>
      <w:r w:rsidR="00440F8F">
        <w:rPr>
          <w:rFonts w:ascii="Times New Roman" w:hAnsi="Times New Roman"/>
          <w:sz w:val="24"/>
          <w:szCs w:val="24"/>
        </w:rPr>
        <w:t>its</w:t>
      </w:r>
      <w:r w:rsidR="001D60B6" w:rsidRPr="005D75E5">
        <w:rPr>
          <w:rFonts w:ascii="Times New Roman" w:hAnsi="Times New Roman"/>
          <w:sz w:val="24"/>
          <w:szCs w:val="24"/>
        </w:rPr>
        <w:t xml:space="preserve"> impact on a range of </w:t>
      </w:r>
      <w:r w:rsidR="00440F8F">
        <w:rPr>
          <w:rFonts w:ascii="Times New Roman" w:hAnsi="Times New Roman"/>
          <w:sz w:val="24"/>
          <w:szCs w:val="24"/>
        </w:rPr>
        <w:t xml:space="preserve">scientific and career outcomes, </w:t>
      </w:r>
      <w:r w:rsidR="001D60B6" w:rsidRPr="005D75E5">
        <w:rPr>
          <w:rFonts w:ascii="Times New Roman" w:hAnsi="Times New Roman"/>
          <w:sz w:val="24"/>
          <w:szCs w:val="24"/>
        </w:rPr>
        <w:t xml:space="preserve">and share best practices with external stakeholders, </w:t>
      </w:r>
      <w:r w:rsidR="00440F8F">
        <w:rPr>
          <w:rFonts w:ascii="Times New Roman" w:hAnsi="Times New Roman"/>
          <w:sz w:val="24"/>
          <w:szCs w:val="24"/>
        </w:rPr>
        <w:t>and inform</w:t>
      </w:r>
      <w:r w:rsidR="001D60B6" w:rsidRPr="005D75E5">
        <w:rPr>
          <w:rFonts w:ascii="Times New Roman" w:hAnsi="Times New Roman"/>
          <w:sz w:val="24"/>
          <w:szCs w:val="24"/>
        </w:rPr>
        <w:t xml:space="preserve"> coordination of federal investment in graduate education. </w:t>
      </w:r>
    </w:p>
    <w:p w14:paraId="54AF0AA9" w14:textId="77777777" w:rsidR="00074C1F" w:rsidRDefault="00074C1F" w:rsidP="004C1CC3">
      <w:pPr>
        <w:spacing w:line="252" w:lineRule="auto"/>
        <w:rPr>
          <w:rFonts w:ascii="Times New Roman" w:hAnsi="Times New Roman"/>
          <w:sz w:val="24"/>
          <w:szCs w:val="24"/>
        </w:rPr>
      </w:pPr>
    </w:p>
    <w:p w14:paraId="2B0B7316" w14:textId="4B9B3D7A" w:rsidR="008B04F7" w:rsidRPr="00F83425" w:rsidRDefault="00742465" w:rsidP="00F83425">
      <w:pPr>
        <w:pStyle w:val="ListParagraph"/>
        <w:numPr>
          <w:ilvl w:val="0"/>
          <w:numId w:val="14"/>
        </w:numPr>
        <w:spacing w:line="252" w:lineRule="auto"/>
        <w:rPr>
          <w:rFonts w:ascii="Times New Roman" w:hAnsi="Times New Roman"/>
          <w:b/>
          <w:sz w:val="24"/>
          <w:szCs w:val="24"/>
        </w:rPr>
      </w:pPr>
      <w:r w:rsidRPr="00F83425">
        <w:rPr>
          <w:rFonts w:ascii="Times New Roman" w:hAnsi="Times New Roman"/>
          <w:b/>
          <w:sz w:val="24"/>
          <w:szCs w:val="24"/>
        </w:rPr>
        <w:t xml:space="preserve">Implementation </w:t>
      </w:r>
      <w:r w:rsidR="00577AA6" w:rsidRPr="00F83425">
        <w:rPr>
          <w:rFonts w:ascii="Times New Roman" w:hAnsi="Times New Roman"/>
          <w:b/>
          <w:sz w:val="24"/>
          <w:szCs w:val="24"/>
        </w:rPr>
        <w:t>Ideas</w:t>
      </w:r>
    </w:p>
    <w:p w14:paraId="714AEE1A" w14:textId="77777777" w:rsidR="008B04F7" w:rsidRDefault="008B04F7" w:rsidP="004C1CC3">
      <w:pPr>
        <w:spacing w:line="252" w:lineRule="auto"/>
        <w:rPr>
          <w:rFonts w:ascii="Times New Roman" w:hAnsi="Times New Roman"/>
          <w:b/>
          <w:sz w:val="24"/>
          <w:szCs w:val="24"/>
        </w:rPr>
      </w:pPr>
    </w:p>
    <w:p w14:paraId="4FE5C7A2" w14:textId="3FD728F2" w:rsidR="00742465" w:rsidRDefault="008359A6" w:rsidP="00742465">
      <w:pPr>
        <w:pStyle w:val="ListParagraph"/>
        <w:numPr>
          <w:ilvl w:val="0"/>
          <w:numId w:val="11"/>
        </w:numPr>
        <w:spacing w:line="252" w:lineRule="auto"/>
        <w:rPr>
          <w:rFonts w:ascii="Times New Roman" w:hAnsi="Times New Roman"/>
          <w:sz w:val="24"/>
          <w:szCs w:val="24"/>
        </w:rPr>
      </w:pPr>
      <w:r w:rsidRPr="00742465">
        <w:rPr>
          <w:rFonts w:ascii="Times New Roman" w:hAnsi="Times New Roman"/>
          <w:sz w:val="24"/>
          <w:szCs w:val="24"/>
        </w:rPr>
        <w:t xml:space="preserve">Encourage career </w:t>
      </w:r>
      <w:r w:rsidR="00702E29" w:rsidRPr="00742465">
        <w:rPr>
          <w:rFonts w:ascii="Times New Roman" w:hAnsi="Times New Roman"/>
          <w:sz w:val="24"/>
          <w:szCs w:val="24"/>
        </w:rPr>
        <w:t xml:space="preserve">development opportunities for graduate students </w:t>
      </w:r>
      <w:r w:rsidR="00AF06F3" w:rsidRPr="00742465">
        <w:rPr>
          <w:rFonts w:ascii="Times New Roman" w:hAnsi="Times New Roman"/>
          <w:sz w:val="24"/>
          <w:szCs w:val="24"/>
        </w:rPr>
        <w:t>that complement</w:t>
      </w:r>
      <w:r w:rsidR="00702E29" w:rsidRPr="00742465">
        <w:rPr>
          <w:rFonts w:ascii="Times New Roman" w:hAnsi="Times New Roman"/>
          <w:sz w:val="24"/>
          <w:szCs w:val="24"/>
        </w:rPr>
        <w:t xml:space="preserve"> wha</w:t>
      </w:r>
      <w:r w:rsidR="006C52C6" w:rsidRPr="00742465">
        <w:rPr>
          <w:rFonts w:ascii="Times New Roman" w:hAnsi="Times New Roman"/>
          <w:sz w:val="24"/>
          <w:szCs w:val="24"/>
        </w:rPr>
        <w:t>t is available at</w:t>
      </w:r>
      <w:r w:rsidR="00B6475D" w:rsidRPr="00742465">
        <w:rPr>
          <w:rFonts w:ascii="Times New Roman" w:hAnsi="Times New Roman"/>
          <w:sz w:val="24"/>
          <w:szCs w:val="24"/>
        </w:rPr>
        <w:t xml:space="preserve"> their university</w:t>
      </w:r>
      <w:r w:rsidR="00702E29" w:rsidRPr="00742465">
        <w:rPr>
          <w:rFonts w:ascii="Times New Roman" w:hAnsi="Times New Roman"/>
          <w:sz w:val="24"/>
          <w:szCs w:val="24"/>
        </w:rPr>
        <w:t>. Po</w:t>
      </w:r>
      <w:r w:rsidR="00742465">
        <w:rPr>
          <w:rFonts w:ascii="Times New Roman" w:hAnsi="Times New Roman"/>
          <w:sz w:val="24"/>
          <w:szCs w:val="24"/>
        </w:rPr>
        <w:t>ssible</w:t>
      </w:r>
      <w:r w:rsidR="00702E29" w:rsidRPr="00742465">
        <w:rPr>
          <w:rFonts w:ascii="Times New Roman" w:hAnsi="Times New Roman"/>
          <w:sz w:val="24"/>
          <w:szCs w:val="24"/>
        </w:rPr>
        <w:t xml:space="preserve"> activities include supplements for RAs </w:t>
      </w:r>
      <w:r w:rsidR="00332EC6">
        <w:rPr>
          <w:rFonts w:ascii="Times New Roman" w:hAnsi="Times New Roman"/>
          <w:sz w:val="24"/>
          <w:szCs w:val="24"/>
        </w:rPr>
        <w:t>for</w:t>
      </w:r>
      <w:r w:rsidR="00702E29" w:rsidRPr="00742465">
        <w:rPr>
          <w:rFonts w:ascii="Times New Roman" w:hAnsi="Times New Roman"/>
          <w:sz w:val="24"/>
          <w:szCs w:val="24"/>
        </w:rPr>
        <w:t xml:space="preserve"> research experienc</w:t>
      </w:r>
      <w:r w:rsidR="00CD3FF5" w:rsidRPr="00742465">
        <w:rPr>
          <w:rFonts w:ascii="Times New Roman" w:hAnsi="Times New Roman"/>
          <w:sz w:val="24"/>
          <w:szCs w:val="24"/>
        </w:rPr>
        <w:t>es in a government setting (analogous to</w:t>
      </w:r>
      <w:r w:rsidR="00702E29" w:rsidRPr="00742465">
        <w:rPr>
          <w:rFonts w:ascii="Times New Roman" w:hAnsi="Times New Roman"/>
          <w:sz w:val="24"/>
          <w:szCs w:val="24"/>
        </w:rPr>
        <w:t xml:space="preserve"> the GRIP component of GRFP)</w:t>
      </w:r>
      <w:r w:rsidR="00CD3FF5" w:rsidRPr="00742465">
        <w:rPr>
          <w:rFonts w:ascii="Times New Roman" w:hAnsi="Times New Roman"/>
          <w:sz w:val="24"/>
          <w:szCs w:val="24"/>
        </w:rPr>
        <w:t>, an international setting (analogous to</w:t>
      </w:r>
      <w:r w:rsidR="00702E29" w:rsidRPr="00742465">
        <w:rPr>
          <w:rFonts w:ascii="Times New Roman" w:hAnsi="Times New Roman"/>
          <w:sz w:val="24"/>
          <w:szCs w:val="24"/>
        </w:rPr>
        <w:t xml:space="preserve"> the GROW component of GRFP), or an industrial setting.</w:t>
      </w:r>
    </w:p>
    <w:p w14:paraId="16EE6C0D" w14:textId="77777777" w:rsidR="00742465" w:rsidRPr="00742465" w:rsidRDefault="00742465" w:rsidP="00742465">
      <w:pPr>
        <w:pStyle w:val="ListParagraph"/>
        <w:spacing w:line="252" w:lineRule="auto"/>
        <w:rPr>
          <w:rFonts w:ascii="Times New Roman" w:hAnsi="Times New Roman"/>
          <w:sz w:val="24"/>
          <w:szCs w:val="24"/>
        </w:rPr>
      </w:pPr>
    </w:p>
    <w:p w14:paraId="1F9ECBD4" w14:textId="65DAA891" w:rsidR="00F923D5" w:rsidRPr="00742465" w:rsidRDefault="00F923D5" w:rsidP="00742465">
      <w:pPr>
        <w:pStyle w:val="ListParagraph"/>
        <w:numPr>
          <w:ilvl w:val="0"/>
          <w:numId w:val="11"/>
        </w:numPr>
        <w:spacing w:line="252" w:lineRule="auto"/>
        <w:rPr>
          <w:rFonts w:ascii="Times New Roman" w:hAnsi="Times New Roman"/>
          <w:i/>
          <w:sz w:val="24"/>
          <w:szCs w:val="24"/>
        </w:rPr>
      </w:pPr>
      <w:r w:rsidRPr="00742465">
        <w:rPr>
          <w:rFonts w:ascii="Times New Roman" w:hAnsi="Times New Roman"/>
          <w:sz w:val="24"/>
          <w:szCs w:val="24"/>
        </w:rPr>
        <w:t>Study, evaluate and</w:t>
      </w:r>
      <w:r w:rsidR="000A1B89" w:rsidRPr="00742465">
        <w:rPr>
          <w:rFonts w:ascii="Times New Roman" w:hAnsi="Times New Roman"/>
          <w:sz w:val="24"/>
          <w:szCs w:val="24"/>
        </w:rPr>
        <w:t xml:space="preserve"> scale</w:t>
      </w:r>
      <w:r w:rsidRPr="00742465">
        <w:rPr>
          <w:rFonts w:ascii="Times New Roman" w:hAnsi="Times New Roman"/>
          <w:sz w:val="24"/>
          <w:szCs w:val="24"/>
        </w:rPr>
        <w:t xml:space="preserve"> </w:t>
      </w:r>
      <w:r w:rsidR="000A1B89" w:rsidRPr="00742465">
        <w:rPr>
          <w:rFonts w:ascii="Times New Roman" w:hAnsi="Times New Roman"/>
          <w:sz w:val="24"/>
          <w:szCs w:val="24"/>
        </w:rPr>
        <w:t xml:space="preserve">those practices </w:t>
      </w:r>
      <w:r w:rsidRPr="00742465">
        <w:rPr>
          <w:rFonts w:ascii="Times New Roman" w:hAnsi="Times New Roman"/>
          <w:sz w:val="24"/>
          <w:szCs w:val="24"/>
        </w:rPr>
        <w:t xml:space="preserve">that attract the broadest range of students to S&amp;E majors, retain them to graduation, and prepare them for diverse career trajectories. </w:t>
      </w:r>
    </w:p>
    <w:p w14:paraId="049805C4" w14:textId="77777777" w:rsidR="00F923D5" w:rsidRDefault="00F923D5" w:rsidP="008B04F7">
      <w:pPr>
        <w:spacing w:line="252" w:lineRule="auto"/>
        <w:rPr>
          <w:rFonts w:ascii="Times New Roman" w:hAnsi="Times New Roman"/>
          <w:sz w:val="24"/>
          <w:szCs w:val="24"/>
        </w:rPr>
      </w:pPr>
    </w:p>
    <w:p w14:paraId="1216BA12" w14:textId="62E18698" w:rsidR="008B04F7" w:rsidRPr="00742465" w:rsidRDefault="008B04F7" w:rsidP="00742465">
      <w:pPr>
        <w:pStyle w:val="ListParagraph"/>
        <w:numPr>
          <w:ilvl w:val="0"/>
          <w:numId w:val="11"/>
        </w:numPr>
        <w:spacing w:line="252" w:lineRule="auto"/>
        <w:rPr>
          <w:rFonts w:ascii="Times New Roman" w:hAnsi="Times New Roman"/>
          <w:sz w:val="24"/>
          <w:szCs w:val="24"/>
        </w:rPr>
      </w:pPr>
      <w:r w:rsidRPr="00742465">
        <w:rPr>
          <w:rFonts w:ascii="Times New Roman" w:hAnsi="Times New Roman"/>
          <w:sz w:val="24"/>
          <w:szCs w:val="24"/>
        </w:rPr>
        <w:t xml:space="preserve">Each S&amp;E discipline </w:t>
      </w:r>
      <w:r w:rsidR="00332EC6">
        <w:rPr>
          <w:rFonts w:ascii="Times New Roman" w:hAnsi="Times New Roman"/>
          <w:sz w:val="24"/>
          <w:szCs w:val="24"/>
        </w:rPr>
        <w:t>should</w:t>
      </w:r>
      <w:r w:rsidR="00332EC6" w:rsidRPr="00742465">
        <w:rPr>
          <w:rFonts w:ascii="Times New Roman" w:hAnsi="Times New Roman"/>
          <w:sz w:val="24"/>
          <w:szCs w:val="24"/>
        </w:rPr>
        <w:t xml:space="preserve"> </w:t>
      </w:r>
      <w:r w:rsidR="00332EC6">
        <w:rPr>
          <w:rFonts w:ascii="Times New Roman" w:hAnsi="Times New Roman"/>
          <w:sz w:val="24"/>
          <w:szCs w:val="24"/>
        </w:rPr>
        <w:t>explore</w:t>
      </w:r>
      <w:r w:rsidR="00332EC6" w:rsidRPr="00742465">
        <w:rPr>
          <w:rFonts w:ascii="Times New Roman" w:hAnsi="Times New Roman"/>
          <w:sz w:val="24"/>
          <w:szCs w:val="24"/>
        </w:rPr>
        <w:t xml:space="preserve"> innovative approaches to address areas of national need</w:t>
      </w:r>
      <w:r w:rsidRPr="00742465">
        <w:rPr>
          <w:rFonts w:ascii="Times New Roman" w:hAnsi="Times New Roman"/>
          <w:sz w:val="24"/>
          <w:szCs w:val="24"/>
        </w:rPr>
        <w:t xml:space="preserve"> </w:t>
      </w:r>
      <w:r w:rsidR="00332EC6">
        <w:rPr>
          <w:rFonts w:ascii="Times New Roman" w:hAnsi="Times New Roman"/>
          <w:sz w:val="24"/>
          <w:szCs w:val="24"/>
        </w:rPr>
        <w:t xml:space="preserve">within its </w:t>
      </w:r>
      <w:r w:rsidRPr="00742465">
        <w:rPr>
          <w:rFonts w:ascii="Times New Roman" w:hAnsi="Times New Roman"/>
          <w:sz w:val="24"/>
          <w:szCs w:val="24"/>
        </w:rPr>
        <w:t xml:space="preserve">unique </w:t>
      </w:r>
      <w:r w:rsidR="00332EC6">
        <w:rPr>
          <w:rFonts w:ascii="Times New Roman" w:hAnsi="Times New Roman"/>
          <w:sz w:val="24"/>
          <w:szCs w:val="24"/>
        </w:rPr>
        <w:t xml:space="preserve">disciplinary </w:t>
      </w:r>
      <w:r w:rsidRPr="00742465">
        <w:rPr>
          <w:rFonts w:ascii="Times New Roman" w:hAnsi="Times New Roman"/>
          <w:sz w:val="24"/>
          <w:szCs w:val="24"/>
        </w:rPr>
        <w:t xml:space="preserve">context for </w:t>
      </w:r>
      <w:r w:rsidR="00332EC6">
        <w:rPr>
          <w:rFonts w:ascii="Times New Roman" w:hAnsi="Times New Roman"/>
          <w:sz w:val="24"/>
          <w:szCs w:val="24"/>
        </w:rPr>
        <w:t>graduate</w:t>
      </w:r>
      <w:r w:rsidRPr="00742465">
        <w:rPr>
          <w:rFonts w:ascii="Times New Roman" w:hAnsi="Times New Roman"/>
          <w:sz w:val="24"/>
          <w:szCs w:val="24"/>
        </w:rPr>
        <w:t xml:space="preserve"> </w:t>
      </w:r>
      <w:r w:rsidR="00332EC6">
        <w:rPr>
          <w:rFonts w:ascii="Times New Roman" w:hAnsi="Times New Roman"/>
          <w:sz w:val="24"/>
          <w:szCs w:val="24"/>
        </w:rPr>
        <w:t>education and training</w:t>
      </w:r>
      <w:r w:rsidR="000A1B89" w:rsidRPr="00742465">
        <w:rPr>
          <w:rFonts w:ascii="Times New Roman" w:hAnsi="Times New Roman"/>
          <w:sz w:val="24"/>
          <w:szCs w:val="24"/>
        </w:rPr>
        <w:t xml:space="preserve">. </w:t>
      </w:r>
      <w:r w:rsidRPr="00742465">
        <w:rPr>
          <w:rFonts w:ascii="Times New Roman" w:hAnsi="Times New Roman"/>
          <w:sz w:val="24"/>
          <w:szCs w:val="24"/>
        </w:rPr>
        <w:t>Graduate students should be supported to conduct original studies, master the responsible and ethical conduct of scientific research, manage scientific information, and communicate research findings.</w:t>
      </w:r>
      <w:r w:rsidR="003925F4" w:rsidRPr="00742465">
        <w:rPr>
          <w:rFonts w:ascii="Times New Roman" w:hAnsi="Times New Roman"/>
          <w:sz w:val="24"/>
          <w:szCs w:val="24"/>
        </w:rPr>
        <w:t xml:space="preserve"> Summer Institutes or supplements are potential mechanisms to address these goals.</w:t>
      </w:r>
    </w:p>
    <w:p w14:paraId="520FA7C1" w14:textId="77777777" w:rsidR="003925F4" w:rsidRDefault="003925F4" w:rsidP="008B04F7">
      <w:pPr>
        <w:spacing w:line="252" w:lineRule="auto"/>
        <w:rPr>
          <w:rFonts w:ascii="Times New Roman" w:hAnsi="Times New Roman"/>
          <w:sz w:val="24"/>
          <w:szCs w:val="24"/>
        </w:rPr>
      </w:pPr>
    </w:p>
    <w:p w14:paraId="032E74CB" w14:textId="548A7B5C" w:rsidR="003925F4" w:rsidRDefault="00742465" w:rsidP="00742465">
      <w:pPr>
        <w:pStyle w:val="ListParagraph"/>
        <w:numPr>
          <w:ilvl w:val="0"/>
          <w:numId w:val="11"/>
        </w:numPr>
        <w:spacing w:line="252" w:lineRule="auto"/>
        <w:rPr>
          <w:rFonts w:ascii="Times New Roman" w:hAnsi="Times New Roman"/>
          <w:sz w:val="24"/>
          <w:szCs w:val="24"/>
        </w:rPr>
      </w:pPr>
      <w:r>
        <w:rPr>
          <w:rFonts w:ascii="Times New Roman" w:hAnsi="Times New Roman"/>
          <w:sz w:val="24"/>
          <w:szCs w:val="24"/>
        </w:rPr>
        <w:lastRenderedPageBreak/>
        <w:t>E</w:t>
      </w:r>
      <w:r w:rsidR="003925F4" w:rsidRPr="00742465">
        <w:rPr>
          <w:rFonts w:ascii="Times New Roman" w:hAnsi="Times New Roman"/>
          <w:sz w:val="24"/>
          <w:szCs w:val="24"/>
        </w:rPr>
        <w:t>xplore the changing nature of the conduct of science, the increased need for interdisciplinary as well as disciplinary research experiences, and the preparation necessary for diverse career paths</w:t>
      </w:r>
      <w:r>
        <w:rPr>
          <w:rFonts w:ascii="Times New Roman" w:hAnsi="Times New Roman"/>
          <w:sz w:val="24"/>
          <w:szCs w:val="24"/>
        </w:rPr>
        <w:t xml:space="preserve"> by such </w:t>
      </w:r>
      <w:r w:rsidR="00DE0882" w:rsidRPr="00742465">
        <w:rPr>
          <w:rFonts w:ascii="Times New Roman" w:hAnsi="Times New Roman"/>
          <w:sz w:val="24"/>
          <w:szCs w:val="24"/>
        </w:rPr>
        <w:t xml:space="preserve"> </w:t>
      </w:r>
      <w:r w:rsidRPr="00742465">
        <w:rPr>
          <w:rFonts w:ascii="Times New Roman" w:hAnsi="Times New Roman"/>
          <w:sz w:val="24"/>
          <w:szCs w:val="24"/>
        </w:rPr>
        <w:t>activities</w:t>
      </w:r>
      <w:r>
        <w:rPr>
          <w:rFonts w:ascii="Times New Roman" w:hAnsi="Times New Roman"/>
          <w:sz w:val="24"/>
          <w:szCs w:val="24"/>
        </w:rPr>
        <w:t xml:space="preserve"> as</w:t>
      </w:r>
      <w:r w:rsidR="00DE0882" w:rsidRPr="00742465">
        <w:rPr>
          <w:rFonts w:ascii="Times New Roman" w:hAnsi="Times New Roman"/>
          <w:sz w:val="24"/>
          <w:szCs w:val="24"/>
        </w:rPr>
        <w:t xml:space="preserve"> surveying current practices by Colleges and Universities, and sponsoring </w:t>
      </w:r>
      <w:r w:rsidR="003925F4" w:rsidRPr="00742465">
        <w:rPr>
          <w:rFonts w:ascii="Times New Roman" w:hAnsi="Times New Roman"/>
          <w:sz w:val="24"/>
          <w:szCs w:val="24"/>
        </w:rPr>
        <w:t>regional workshops with external stakeholder communities, (including professional societies, advisory committees, industry, and federal partners, private foundations and international funding organizations).</w:t>
      </w:r>
    </w:p>
    <w:p w14:paraId="60FF7903" w14:textId="77777777" w:rsidR="00D5769F" w:rsidRPr="00D5769F" w:rsidRDefault="00D5769F" w:rsidP="00D5769F">
      <w:pPr>
        <w:pStyle w:val="ListParagraph"/>
        <w:rPr>
          <w:rFonts w:ascii="Times New Roman" w:hAnsi="Times New Roman"/>
          <w:sz w:val="24"/>
          <w:szCs w:val="24"/>
        </w:rPr>
      </w:pPr>
    </w:p>
    <w:p w14:paraId="1BECA841" w14:textId="4D02B448" w:rsidR="00D5769F" w:rsidRPr="00742465" w:rsidRDefault="00D5769F" w:rsidP="00742465">
      <w:pPr>
        <w:pStyle w:val="ListParagraph"/>
        <w:numPr>
          <w:ilvl w:val="0"/>
          <w:numId w:val="11"/>
        </w:numPr>
        <w:spacing w:line="252" w:lineRule="auto"/>
        <w:rPr>
          <w:rFonts w:ascii="Times New Roman" w:hAnsi="Times New Roman"/>
          <w:sz w:val="24"/>
          <w:szCs w:val="24"/>
        </w:rPr>
      </w:pPr>
      <w:r>
        <w:rPr>
          <w:rFonts w:ascii="Times New Roman" w:hAnsi="Times New Roman"/>
          <w:sz w:val="24"/>
          <w:szCs w:val="24"/>
        </w:rPr>
        <w:t>NSF principal investigators will soon be able to list a unique identifier (ORCID ID) on all research proposals. The Graduate Research Fellowships Program will also enable applicants to include his or her ORCID ID.</w:t>
      </w:r>
      <w:r>
        <w:rPr>
          <w:rStyle w:val="FootnoteReference"/>
          <w:rFonts w:ascii="Times New Roman" w:hAnsi="Times New Roman"/>
          <w:sz w:val="24"/>
          <w:szCs w:val="24"/>
        </w:rPr>
        <w:footnoteReference w:id="4"/>
      </w:r>
      <w:r>
        <w:rPr>
          <w:rFonts w:ascii="Times New Roman" w:hAnsi="Times New Roman"/>
          <w:sz w:val="24"/>
          <w:szCs w:val="24"/>
        </w:rPr>
        <w:t xml:space="preserve"> NSF has the opportunity to learn from these ORCHID ID data in order to inform a more comprehensive data analytic strategy across the entire investment in graduate education, particularly for research assistantships.  </w:t>
      </w:r>
    </w:p>
    <w:p w14:paraId="70CE0E2F" w14:textId="77777777" w:rsidR="003925F4" w:rsidRDefault="003925F4" w:rsidP="003925F4">
      <w:pPr>
        <w:spacing w:line="252" w:lineRule="auto"/>
        <w:rPr>
          <w:rFonts w:ascii="Times New Roman" w:hAnsi="Times New Roman"/>
          <w:sz w:val="24"/>
          <w:szCs w:val="24"/>
        </w:rPr>
      </w:pPr>
    </w:p>
    <w:p w14:paraId="1CABF1EA" w14:textId="7768DDAE" w:rsidR="008B04F7" w:rsidRPr="00C46594" w:rsidRDefault="00742465" w:rsidP="00F27D44">
      <w:pPr>
        <w:pStyle w:val="ListParagraph"/>
        <w:numPr>
          <w:ilvl w:val="0"/>
          <w:numId w:val="11"/>
        </w:numPr>
        <w:spacing w:line="252" w:lineRule="auto"/>
        <w:rPr>
          <w:rFonts w:ascii="Times New Roman" w:hAnsi="Times New Roman"/>
          <w:b/>
          <w:sz w:val="24"/>
          <w:szCs w:val="24"/>
        </w:rPr>
      </w:pPr>
      <w:r w:rsidRPr="00F27D44">
        <w:rPr>
          <w:rFonts w:ascii="Times New Roman" w:hAnsi="Times New Roman"/>
          <w:sz w:val="24"/>
          <w:szCs w:val="24"/>
        </w:rPr>
        <w:t xml:space="preserve">Explore data extraction </w:t>
      </w:r>
      <w:r w:rsidR="003925F4" w:rsidRPr="00F27D44">
        <w:rPr>
          <w:rFonts w:ascii="Times New Roman" w:hAnsi="Times New Roman"/>
          <w:sz w:val="24"/>
          <w:szCs w:val="24"/>
        </w:rPr>
        <w:t xml:space="preserve">tools that can draw information from proposal metadata, ORCID-IDs, NSF budget databases, and other sources of data in order to </w:t>
      </w:r>
      <w:r w:rsidR="00332EC6">
        <w:rPr>
          <w:rFonts w:ascii="Times New Roman" w:hAnsi="Times New Roman"/>
          <w:sz w:val="24"/>
          <w:szCs w:val="24"/>
        </w:rPr>
        <w:t xml:space="preserve">more accurately monitor NSF support of graduate education and provide information </w:t>
      </w:r>
      <w:r w:rsidR="003925F4" w:rsidRPr="00F27D44">
        <w:rPr>
          <w:rFonts w:ascii="Times New Roman" w:hAnsi="Times New Roman"/>
          <w:sz w:val="24"/>
          <w:szCs w:val="24"/>
        </w:rPr>
        <w:t xml:space="preserve">on demand </w:t>
      </w:r>
      <w:r w:rsidR="00332EC6">
        <w:rPr>
          <w:rFonts w:ascii="Times New Roman" w:hAnsi="Times New Roman"/>
          <w:sz w:val="24"/>
          <w:szCs w:val="24"/>
        </w:rPr>
        <w:t>to</w:t>
      </w:r>
      <w:r w:rsidR="003925F4" w:rsidRPr="00F27D44">
        <w:rPr>
          <w:rFonts w:ascii="Times New Roman" w:hAnsi="Times New Roman"/>
          <w:sz w:val="24"/>
          <w:szCs w:val="24"/>
        </w:rPr>
        <w:t xml:space="preserve"> multiple audiences. </w:t>
      </w:r>
      <w:r w:rsidR="00F27D44" w:rsidRPr="00F27D44">
        <w:rPr>
          <w:rFonts w:ascii="Times New Roman" w:hAnsi="Times New Roman"/>
          <w:sz w:val="24"/>
          <w:szCs w:val="24"/>
        </w:rPr>
        <w:t xml:space="preserve"> </w:t>
      </w:r>
      <w:r w:rsidRPr="00F27D44">
        <w:rPr>
          <w:rFonts w:ascii="Times New Roman" w:hAnsi="Times New Roman"/>
          <w:sz w:val="24"/>
          <w:szCs w:val="24"/>
        </w:rPr>
        <w:t xml:space="preserve">The </w:t>
      </w:r>
      <w:r w:rsidR="008B04F7" w:rsidRPr="00F27D44">
        <w:rPr>
          <w:rFonts w:ascii="Times New Roman" w:hAnsi="Times New Roman"/>
          <w:sz w:val="24"/>
          <w:szCs w:val="24"/>
        </w:rPr>
        <w:t>NSF-wide</w:t>
      </w:r>
      <w:r w:rsidRPr="00F27D44">
        <w:rPr>
          <w:rFonts w:ascii="Times New Roman" w:hAnsi="Times New Roman"/>
          <w:sz w:val="24"/>
          <w:szCs w:val="24"/>
        </w:rPr>
        <w:t xml:space="preserve"> GRFP </w:t>
      </w:r>
      <w:r w:rsidR="008B04F7" w:rsidRPr="00F27D44">
        <w:rPr>
          <w:rFonts w:ascii="Times New Roman" w:hAnsi="Times New Roman"/>
          <w:sz w:val="24"/>
          <w:szCs w:val="24"/>
        </w:rPr>
        <w:t xml:space="preserve">data-analytics efforts can inform cross-directorate efforts for metadata collection on all incoming proposals, post-award data mining, program evaluation and reporting. </w:t>
      </w:r>
    </w:p>
    <w:p w14:paraId="0664A8D9" w14:textId="77777777" w:rsidR="00C46594" w:rsidRPr="00C46594" w:rsidRDefault="00C46594" w:rsidP="00C46594">
      <w:pPr>
        <w:pStyle w:val="ListParagraph"/>
        <w:rPr>
          <w:rFonts w:ascii="Times New Roman" w:hAnsi="Times New Roman"/>
          <w:b/>
          <w:sz w:val="24"/>
          <w:szCs w:val="24"/>
        </w:rPr>
      </w:pPr>
    </w:p>
    <w:p w14:paraId="6915DA4D" w14:textId="4663BA3A" w:rsidR="00C46594" w:rsidRPr="00F83425" w:rsidRDefault="00162803" w:rsidP="00F83425">
      <w:pPr>
        <w:pStyle w:val="ListParagraph"/>
        <w:numPr>
          <w:ilvl w:val="0"/>
          <w:numId w:val="14"/>
        </w:numPr>
        <w:spacing w:line="252" w:lineRule="auto"/>
        <w:rPr>
          <w:rFonts w:ascii="Times New Roman" w:hAnsi="Times New Roman"/>
          <w:b/>
          <w:sz w:val="24"/>
          <w:szCs w:val="24"/>
        </w:rPr>
      </w:pPr>
      <w:r>
        <w:rPr>
          <w:rFonts w:ascii="Times New Roman" w:hAnsi="Times New Roman"/>
          <w:b/>
          <w:sz w:val="24"/>
          <w:szCs w:val="24"/>
        </w:rPr>
        <w:t xml:space="preserve">Relevant </w:t>
      </w:r>
      <w:r w:rsidR="00C46594" w:rsidRPr="00F83425">
        <w:rPr>
          <w:rFonts w:ascii="Times New Roman" w:hAnsi="Times New Roman"/>
          <w:b/>
          <w:sz w:val="24"/>
          <w:szCs w:val="24"/>
        </w:rPr>
        <w:t>References</w:t>
      </w:r>
    </w:p>
    <w:p w14:paraId="113B9980" w14:textId="77777777" w:rsidR="00C46594" w:rsidRPr="00C46594" w:rsidRDefault="00C46594" w:rsidP="00C46594">
      <w:pPr>
        <w:pStyle w:val="ListParagraph"/>
        <w:rPr>
          <w:rFonts w:ascii="Times New Roman" w:hAnsi="Times New Roman"/>
          <w:b/>
          <w:sz w:val="24"/>
          <w:szCs w:val="24"/>
        </w:rPr>
      </w:pPr>
    </w:p>
    <w:p w14:paraId="47EBB5A7" w14:textId="77777777" w:rsidR="00C46594" w:rsidRPr="00C46594" w:rsidRDefault="00C46594" w:rsidP="00C46594">
      <w:pPr>
        <w:pStyle w:val="ListParagraph"/>
        <w:numPr>
          <w:ilvl w:val="0"/>
          <w:numId w:val="13"/>
        </w:numPr>
        <w:autoSpaceDE w:val="0"/>
        <w:autoSpaceDN w:val="0"/>
        <w:adjustRightInd w:val="0"/>
        <w:spacing w:line="240" w:lineRule="auto"/>
        <w:rPr>
          <w:rFonts w:cs="NewAsterLTStd"/>
          <w:i/>
          <w:sz w:val="23"/>
          <w:szCs w:val="23"/>
        </w:rPr>
      </w:pPr>
      <w:r w:rsidRPr="00C46594">
        <w:rPr>
          <w:rFonts w:cs="NewAsterLTStd"/>
          <w:i/>
          <w:sz w:val="23"/>
          <w:szCs w:val="23"/>
        </w:rPr>
        <w:t xml:space="preserve">The National Science Foundation. (2014) </w:t>
      </w:r>
      <w:hyperlink r:id="rId9" w:history="1">
        <w:r w:rsidRPr="00C46594">
          <w:rPr>
            <w:rFonts w:cs="NewAsterLTStd"/>
            <w:i/>
            <w:color w:val="0000FF"/>
            <w:sz w:val="23"/>
            <w:szCs w:val="23"/>
            <w:u w:val="single"/>
          </w:rPr>
          <w:t>Strategic Plan for 2014-2018</w:t>
        </w:r>
      </w:hyperlink>
    </w:p>
    <w:p w14:paraId="38A495AB" w14:textId="77777777" w:rsidR="00C46594" w:rsidRPr="00C46594" w:rsidRDefault="00C46594" w:rsidP="00C46594">
      <w:pPr>
        <w:autoSpaceDE w:val="0"/>
        <w:autoSpaceDN w:val="0"/>
        <w:adjustRightInd w:val="0"/>
        <w:spacing w:line="240" w:lineRule="auto"/>
        <w:rPr>
          <w:rFonts w:asciiTheme="minorHAnsi" w:hAnsiTheme="minorHAnsi" w:cs="NewAsterLTStd"/>
          <w:i/>
          <w:sz w:val="23"/>
          <w:szCs w:val="23"/>
        </w:rPr>
      </w:pPr>
    </w:p>
    <w:p w14:paraId="1D0E9E56" w14:textId="77777777" w:rsidR="00C46594" w:rsidRPr="00C46594" w:rsidRDefault="00C46594" w:rsidP="00C46594">
      <w:pPr>
        <w:pStyle w:val="ListParagraph"/>
        <w:numPr>
          <w:ilvl w:val="0"/>
          <w:numId w:val="13"/>
        </w:numPr>
        <w:autoSpaceDE w:val="0"/>
        <w:autoSpaceDN w:val="0"/>
        <w:adjustRightInd w:val="0"/>
        <w:spacing w:line="240" w:lineRule="auto"/>
        <w:rPr>
          <w:rFonts w:cs="NewAsterLTStd"/>
          <w:i/>
          <w:sz w:val="23"/>
          <w:szCs w:val="23"/>
        </w:rPr>
      </w:pPr>
      <w:r w:rsidRPr="00C46594">
        <w:rPr>
          <w:rFonts w:cs="NewAsterLTStd"/>
          <w:i/>
          <w:sz w:val="23"/>
          <w:szCs w:val="23"/>
        </w:rPr>
        <w:t xml:space="preserve">Council of Graduate Schools and Educational Testing Service. (2010). </w:t>
      </w:r>
      <w:hyperlink r:id="rId10" w:history="1">
        <w:r w:rsidRPr="00C46594">
          <w:rPr>
            <w:rFonts w:cs="NewAsterLTStd-It"/>
            <w:i/>
            <w:iCs/>
            <w:color w:val="0000FF"/>
            <w:sz w:val="23"/>
            <w:szCs w:val="23"/>
            <w:u w:val="single"/>
          </w:rPr>
          <w:t>The Path Forward: The</w:t>
        </w:r>
        <w:r w:rsidRPr="00C46594">
          <w:rPr>
            <w:rFonts w:cs="NewAsterLTStd"/>
            <w:i/>
            <w:color w:val="0000FF"/>
            <w:sz w:val="23"/>
            <w:szCs w:val="23"/>
            <w:u w:val="single"/>
          </w:rPr>
          <w:t xml:space="preserve"> </w:t>
        </w:r>
        <w:r w:rsidRPr="00C46594">
          <w:rPr>
            <w:rFonts w:cs="NewAsterLTStd-It"/>
            <w:i/>
            <w:iCs/>
            <w:color w:val="0000FF"/>
            <w:sz w:val="23"/>
            <w:szCs w:val="23"/>
            <w:u w:val="single"/>
          </w:rPr>
          <w:t>Future of Graduate Education in the United States</w:t>
        </w:r>
      </w:hyperlink>
      <w:r w:rsidRPr="00C46594">
        <w:rPr>
          <w:rFonts w:cs="NewAsterLTStd-It"/>
          <w:i/>
          <w:iCs/>
          <w:sz w:val="23"/>
          <w:szCs w:val="23"/>
        </w:rPr>
        <w:t>. Report from</w:t>
      </w:r>
      <w:r w:rsidRPr="00C46594">
        <w:rPr>
          <w:rFonts w:cs="NewAsterLTStd"/>
          <w:i/>
          <w:sz w:val="23"/>
          <w:szCs w:val="23"/>
        </w:rPr>
        <w:t xml:space="preserve"> </w:t>
      </w:r>
      <w:r w:rsidRPr="00C46594">
        <w:rPr>
          <w:rFonts w:cs="NewAsterLTStd-It"/>
          <w:i/>
          <w:iCs/>
          <w:sz w:val="23"/>
          <w:szCs w:val="23"/>
        </w:rPr>
        <w:t xml:space="preserve">the Commission on the Future of Graduate Education in the United States. </w:t>
      </w:r>
    </w:p>
    <w:p w14:paraId="54DCFB38" w14:textId="77777777" w:rsidR="00C46594" w:rsidRPr="00C46594" w:rsidRDefault="00C46594" w:rsidP="00C46594">
      <w:pPr>
        <w:autoSpaceDE w:val="0"/>
        <w:autoSpaceDN w:val="0"/>
        <w:adjustRightInd w:val="0"/>
        <w:spacing w:line="240" w:lineRule="auto"/>
        <w:rPr>
          <w:rFonts w:asciiTheme="minorHAnsi" w:hAnsiTheme="minorHAnsi" w:cs="Times-Roman"/>
          <w:i/>
          <w:sz w:val="23"/>
          <w:szCs w:val="23"/>
        </w:rPr>
      </w:pPr>
    </w:p>
    <w:p w14:paraId="3C9E731A" w14:textId="77777777" w:rsidR="00C46594" w:rsidRPr="00C46594" w:rsidRDefault="00C46594" w:rsidP="00C46594">
      <w:pPr>
        <w:pStyle w:val="ListParagraph"/>
        <w:numPr>
          <w:ilvl w:val="0"/>
          <w:numId w:val="13"/>
        </w:numPr>
        <w:autoSpaceDE w:val="0"/>
        <w:autoSpaceDN w:val="0"/>
        <w:adjustRightInd w:val="0"/>
        <w:spacing w:line="240" w:lineRule="auto"/>
        <w:rPr>
          <w:rFonts w:cs="Times-Roman"/>
          <w:i/>
          <w:sz w:val="23"/>
          <w:szCs w:val="23"/>
        </w:rPr>
      </w:pPr>
      <w:r w:rsidRPr="00C46594">
        <w:rPr>
          <w:rFonts w:cs="Times-Roman"/>
          <w:i/>
          <w:sz w:val="23"/>
          <w:szCs w:val="23"/>
        </w:rPr>
        <w:t xml:space="preserve">Committee on Science, Engineering, and Public Policy, National Academy of Sciences, National Academy of Engineering, Institute of Medicine. (1995) </w:t>
      </w:r>
      <w:hyperlink r:id="rId11" w:history="1">
        <w:r w:rsidRPr="00C46594">
          <w:rPr>
            <w:rFonts w:cs="Times-Roman"/>
            <w:i/>
            <w:color w:val="0000FF"/>
            <w:sz w:val="23"/>
            <w:szCs w:val="23"/>
            <w:u w:val="single"/>
          </w:rPr>
          <w:t>Reshaping the Graduate Education of Scientists and Engineers.</w:t>
        </w:r>
      </w:hyperlink>
    </w:p>
    <w:p w14:paraId="25B28B88" w14:textId="77777777" w:rsidR="00C46594" w:rsidRPr="00C46594" w:rsidRDefault="00C46594" w:rsidP="00C46594">
      <w:pPr>
        <w:autoSpaceDE w:val="0"/>
        <w:autoSpaceDN w:val="0"/>
        <w:adjustRightInd w:val="0"/>
        <w:spacing w:line="240" w:lineRule="auto"/>
        <w:rPr>
          <w:rFonts w:asciiTheme="minorHAnsi" w:hAnsiTheme="minorHAnsi" w:cs="Times-Roman"/>
          <w:i/>
          <w:sz w:val="23"/>
          <w:szCs w:val="23"/>
        </w:rPr>
      </w:pPr>
    </w:p>
    <w:p w14:paraId="4D9FA723" w14:textId="77777777" w:rsidR="00C46594" w:rsidRPr="00C46594" w:rsidRDefault="00C46594" w:rsidP="00C46594">
      <w:pPr>
        <w:pStyle w:val="ListParagraph"/>
        <w:numPr>
          <w:ilvl w:val="0"/>
          <w:numId w:val="13"/>
        </w:numPr>
        <w:autoSpaceDE w:val="0"/>
        <w:autoSpaceDN w:val="0"/>
        <w:adjustRightInd w:val="0"/>
        <w:spacing w:line="240" w:lineRule="auto"/>
        <w:rPr>
          <w:rFonts w:cs="Times-Roman"/>
          <w:i/>
          <w:sz w:val="23"/>
          <w:szCs w:val="23"/>
        </w:rPr>
      </w:pPr>
      <w:r w:rsidRPr="00C46594">
        <w:rPr>
          <w:rFonts w:cs="Times-Roman"/>
          <w:i/>
          <w:sz w:val="23"/>
          <w:szCs w:val="23"/>
        </w:rPr>
        <w:t xml:space="preserve">The National Science Board. (2015) </w:t>
      </w:r>
      <w:hyperlink r:id="rId12" w:history="1">
        <w:r w:rsidRPr="00C46594">
          <w:rPr>
            <w:rFonts w:cs="Times-Roman"/>
            <w:i/>
            <w:color w:val="0000FF"/>
            <w:sz w:val="23"/>
            <w:szCs w:val="23"/>
            <w:u w:val="single"/>
          </w:rPr>
          <w:t>Revisiting the STEM Workforce: A Companion to Science and Engineering Indicators 2014.</w:t>
        </w:r>
      </w:hyperlink>
    </w:p>
    <w:p w14:paraId="00DBD58A" w14:textId="77777777" w:rsidR="00C46594" w:rsidRPr="00C46594" w:rsidRDefault="00C46594" w:rsidP="00C46594">
      <w:pPr>
        <w:autoSpaceDE w:val="0"/>
        <w:autoSpaceDN w:val="0"/>
        <w:adjustRightInd w:val="0"/>
        <w:spacing w:line="240" w:lineRule="auto"/>
        <w:rPr>
          <w:rFonts w:asciiTheme="minorHAnsi" w:hAnsiTheme="minorHAnsi" w:cs="Times-Roman"/>
          <w:i/>
          <w:sz w:val="23"/>
          <w:szCs w:val="23"/>
        </w:rPr>
      </w:pPr>
    </w:p>
    <w:p w14:paraId="0C9BD139" w14:textId="77777777" w:rsidR="00C46594" w:rsidRPr="00C46594" w:rsidRDefault="00C46594" w:rsidP="00C46594">
      <w:pPr>
        <w:pStyle w:val="ListParagraph"/>
        <w:numPr>
          <w:ilvl w:val="0"/>
          <w:numId w:val="13"/>
        </w:numPr>
        <w:autoSpaceDE w:val="0"/>
        <w:autoSpaceDN w:val="0"/>
        <w:adjustRightInd w:val="0"/>
        <w:spacing w:line="240" w:lineRule="auto"/>
        <w:rPr>
          <w:rFonts w:cs="Times-Roman"/>
          <w:i/>
          <w:sz w:val="23"/>
          <w:szCs w:val="23"/>
        </w:rPr>
      </w:pPr>
      <w:r w:rsidRPr="00C46594">
        <w:rPr>
          <w:rFonts w:cs="Times-Roman"/>
          <w:i/>
          <w:sz w:val="23"/>
          <w:szCs w:val="23"/>
        </w:rPr>
        <w:t xml:space="preserve">The Committee on STEM Education, National Science and Technology Council. (2013) </w:t>
      </w:r>
      <w:hyperlink r:id="rId13" w:history="1">
        <w:r w:rsidRPr="00C46594">
          <w:rPr>
            <w:rFonts w:cs="Times-Roman"/>
            <w:i/>
            <w:color w:val="0000FF"/>
            <w:sz w:val="23"/>
            <w:szCs w:val="23"/>
            <w:u w:val="single"/>
          </w:rPr>
          <w:t>Federal Science, Technology, Engineering, and Mathematics (STEM) Education 5-Year Strategic Plan.</w:t>
        </w:r>
      </w:hyperlink>
    </w:p>
    <w:p w14:paraId="50B63320" w14:textId="77777777" w:rsidR="00C46594" w:rsidRPr="00C46594" w:rsidRDefault="00C46594" w:rsidP="00C46594">
      <w:pPr>
        <w:autoSpaceDE w:val="0"/>
        <w:autoSpaceDN w:val="0"/>
        <w:adjustRightInd w:val="0"/>
        <w:spacing w:line="240" w:lineRule="auto"/>
        <w:rPr>
          <w:rFonts w:asciiTheme="minorHAnsi" w:hAnsiTheme="minorHAnsi" w:cs="Times-Roman"/>
          <w:i/>
          <w:sz w:val="23"/>
          <w:szCs w:val="23"/>
        </w:rPr>
      </w:pPr>
    </w:p>
    <w:p w14:paraId="78D43989" w14:textId="77777777" w:rsidR="00C46594" w:rsidRPr="00C46594" w:rsidRDefault="00C46594" w:rsidP="00C46594">
      <w:pPr>
        <w:pStyle w:val="ListParagraph"/>
        <w:numPr>
          <w:ilvl w:val="0"/>
          <w:numId w:val="13"/>
        </w:numPr>
        <w:autoSpaceDE w:val="0"/>
        <w:autoSpaceDN w:val="0"/>
        <w:adjustRightInd w:val="0"/>
        <w:spacing w:line="240" w:lineRule="auto"/>
        <w:rPr>
          <w:rFonts w:cs="Times-Roman"/>
          <w:i/>
          <w:sz w:val="23"/>
          <w:szCs w:val="23"/>
        </w:rPr>
      </w:pPr>
      <w:r w:rsidRPr="00C46594">
        <w:rPr>
          <w:rFonts w:cs="Times-Roman"/>
          <w:i/>
          <w:sz w:val="23"/>
          <w:szCs w:val="23"/>
        </w:rPr>
        <w:t xml:space="preserve">Committee on Research Universities; Board on Higher Education and Workforce; Policy and Global Affairs; National Research Council. (2012) </w:t>
      </w:r>
      <w:hyperlink r:id="rId14" w:history="1">
        <w:r w:rsidRPr="00C46594">
          <w:rPr>
            <w:rFonts w:cs="Times-Roman"/>
            <w:i/>
            <w:color w:val="0000FF"/>
            <w:sz w:val="23"/>
            <w:szCs w:val="23"/>
            <w:u w:val="single"/>
          </w:rPr>
          <w:t>Research Universities and the Future of America: Ten Breakthrough Actions Vital to Our Nation's Prosperity and Security</w:t>
        </w:r>
      </w:hyperlink>
      <w:r w:rsidRPr="00C46594">
        <w:rPr>
          <w:rFonts w:cs="Times-Roman"/>
          <w:i/>
          <w:sz w:val="23"/>
          <w:szCs w:val="23"/>
        </w:rPr>
        <w:t>.</w:t>
      </w:r>
    </w:p>
    <w:p w14:paraId="00B03C60" w14:textId="77777777" w:rsidR="00C46594" w:rsidRPr="00C46594" w:rsidRDefault="00C46594" w:rsidP="00C46594">
      <w:pPr>
        <w:autoSpaceDE w:val="0"/>
        <w:autoSpaceDN w:val="0"/>
        <w:adjustRightInd w:val="0"/>
        <w:spacing w:line="240" w:lineRule="auto"/>
        <w:rPr>
          <w:rFonts w:asciiTheme="minorHAnsi" w:hAnsiTheme="minorHAnsi" w:cs="Times-Roman"/>
          <w:i/>
          <w:sz w:val="23"/>
          <w:szCs w:val="23"/>
        </w:rPr>
      </w:pPr>
    </w:p>
    <w:p w14:paraId="0408EF3E" w14:textId="77777777" w:rsidR="00C46594" w:rsidRPr="00C46594" w:rsidRDefault="00C46594" w:rsidP="00C46594">
      <w:pPr>
        <w:pStyle w:val="ListParagraph"/>
        <w:numPr>
          <w:ilvl w:val="0"/>
          <w:numId w:val="13"/>
        </w:numPr>
        <w:autoSpaceDE w:val="0"/>
        <w:autoSpaceDN w:val="0"/>
        <w:adjustRightInd w:val="0"/>
        <w:spacing w:line="240" w:lineRule="auto"/>
        <w:rPr>
          <w:rFonts w:cs="Times-Roman"/>
          <w:i/>
          <w:sz w:val="23"/>
          <w:szCs w:val="23"/>
        </w:rPr>
      </w:pPr>
      <w:r w:rsidRPr="00C46594">
        <w:rPr>
          <w:rFonts w:cs="Times-Roman"/>
          <w:i/>
          <w:sz w:val="23"/>
          <w:szCs w:val="23"/>
        </w:rPr>
        <w:lastRenderedPageBreak/>
        <w:t>The Carnegie Foundation for the Advancement of Teaching. (2006) Envisioning the Future of Doctoral Education: Preparing Stewards of the Discipline.</w:t>
      </w:r>
    </w:p>
    <w:p w14:paraId="65CED21F" w14:textId="77777777" w:rsidR="00C46594" w:rsidRPr="00C46594" w:rsidRDefault="00C46594" w:rsidP="00C46594">
      <w:pPr>
        <w:autoSpaceDE w:val="0"/>
        <w:autoSpaceDN w:val="0"/>
        <w:adjustRightInd w:val="0"/>
        <w:spacing w:line="240" w:lineRule="auto"/>
        <w:rPr>
          <w:rFonts w:asciiTheme="minorHAnsi" w:hAnsiTheme="minorHAnsi" w:cs="Times-Roman"/>
          <w:i/>
          <w:sz w:val="23"/>
          <w:szCs w:val="23"/>
        </w:rPr>
      </w:pPr>
    </w:p>
    <w:p w14:paraId="10E1FC95" w14:textId="77777777" w:rsidR="00C46594" w:rsidRPr="00C46594" w:rsidRDefault="00C46594" w:rsidP="00C46594">
      <w:pPr>
        <w:pStyle w:val="ListParagraph"/>
        <w:numPr>
          <w:ilvl w:val="0"/>
          <w:numId w:val="13"/>
        </w:numPr>
        <w:spacing w:line="252" w:lineRule="auto"/>
        <w:rPr>
          <w:rFonts w:ascii="Times New Roman" w:hAnsi="Times New Roman"/>
          <w:b/>
          <w:i/>
          <w:sz w:val="24"/>
          <w:szCs w:val="24"/>
        </w:rPr>
      </w:pPr>
      <w:r w:rsidRPr="00C46594">
        <w:rPr>
          <w:rFonts w:cs="Times-Roman"/>
          <w:i/>
          <w:sz w:val="23"/>
          <w:szCs w:val="23"/>
        </w:rPr>
        <w:t xml:space="preserve">The National Research Council. (2015)  </w:t>
      </w:r>
      <w:hyperlink r:id="rId15" w:history="1">
        <w:r w:rsidRPr="00C46594">
          <w:rPr>
            <w:rFonts w:cs="Times-Roman"/>
            <w:i/>
            <w:color w:val="0000FF"/>
            <w:sz w:val="23"/>
            <w:szCs w:val="23"/>
            <w:u w:val="single"/>
          </w:rPr>
          <w:t>Enhancing the Effectiveness of Team Science</w:t>
        </w:r>
      </w:hyperlink>
    </w:p>
    <w:p w14:paraId="4587FCCF" w14:textId="77777777" w:rsidR="00C46594" w:rsidRPr="00C46594" w:rsidRDefault="00C46594" w:rsidP="00C46594">
      <w:pPr>
        <w:pStyle w:val="ListParagraph"/>
        <w:rPr>
          <w:rFonts w:cs="Times-Roman"/>
          <w:i/>
          <w:sz w:val="23"/>
          <w:szCs w:val="23"/>
        </w:rPr>
      </w:pPr>
    </w:p>
    <w:p w14:paraId="775BA0FA" w14:textId="413A469C" w:rsidR="00C46594" w:rsidRPr="00C46594" w:rsidRDefault="00C46594" w:rsidP="00C46594">
      <w:pPr>
        <w:pStyle w:val="ListParagraph"/>
        <w:numPr>
          <w:ilvl w:val="0"/>
          <w:numId w:val="13"/>
        </w:numPr>
        <w:spacing w:line="252" w:lineRule="auto"/>
        <w:rPr>
          <w:rFonts w:ascii="Times New Roman" w:hAnsi="Times New Roman"/>
          <w:b/>
          <w:sz w:val="24"/>
          <w:szCs w:val="24"/>
        </w:rPr>
      </w:pPr>
      <w:r w:rsidRPr="00C46594">
        <w:rPr>
          <w:rFonts w:cs="Times-Roman"/>
          <w:i/>
          <w:sz w:val="23"/>
          <w:szCs w:val="23"/>
        </w:rPr>
        <w:t xml:space="preserve">The American Chemical Society. (2013) </w:t>
      </w:r>
      <w:hyperlink r:id="rId16" w:history="1">
        <w:r w:rsidRPr="00C46594">
          <w:rPr>
            <w:rFonts w:cs="Times-Roman"/>
            <w:i/>
            <w:color w:val="0000FF"/>
            <w:sz w:val="23"/>
            <w:szCs w:val="23"/>
            <w:u w:val="single"/>
          </w:rPr>
          <w:t>Advancing Graduate Education in the Chemical Sciences.</w:t>
        </w:r>
      </w:hyperlink>
    </w:p>
    <w:sectPr w:rsidR="00C46594" w:rsidRPr="00C465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925BD" w14:textId="77777777" w:rsidR="000374D8" w:rsidRDefault="000374D8" w:rsidP="004C1CC3">
      <w:pPr>
        <w:spacing w:line="240" w:lineRule="auto"/>
      </w:pPr>
      <w:r>
        <w:separator/>
      </w:r>
    </w:p>
  </w:endnote>
  <w:endnote w:type="continuationSeparator" w:id="0">
    <w:p w14:paraId="1EBF251C" w14:textId="77777777" w:rsidR="000374D8" w:rsidRDefault="000374D8" w:rsidP="004C1C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NewAsterLTStd">
    <w:panose1 w:val="00000000000000000000"/>
    <w:charset w:val="00"/>
    <w:family w:val="roman"/>
    <w:notTrueType/>
    <w:pitch w:val="default"/>
    <w:sig w:usb0="00000003" w:usb1="00000000" w:usb2="00000000" w:usb3="00000000" w:csb0="00000001" w:csb1="00000000"/>
  </w:font>
  <w:font w:name="NewAsterLTStd-It">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59F7F" w14:textId="77777777" w:rsidR="000374D8" w:rsidRDefault="000374D8" w:rsidP="004C1CC3">
      <w:pPr>
        <w:spacing w:line="240" w:lineRule="auto"/>
      </w:pPr>
      <w:r>
        <w:separator/>
      </w:r>
    </w:p>
  </w:footnote>
  <w:footnote w:type="continuationSeparator" w:id="0">
    <w:p w14:paraId="5D914748" w14:textId="77777777" w:rsidR="000374D8" w:rsidRDefault="000374D8" w:rsidP="004C1CC3">
      <w:pPr>
        <w:spacing w:line="240" w:lineRule="auto"/>
      </w:pPr>
      <w:r>
        <w:continuationSeparator/>
      </w:r>
    </w:p>
  </w:footnote>
  <w:footnote w:id="1">
    <w:p w14:paraId="2471463D" w14:textId="77777777" w:rsidR="007C7ECC" w:rsidRDefault="007C7ECC" w:rsidP="00EC6222">
      <w:pPr>
        <w:pStyle w:val="FootnoteText"/>
      </w:pPr>
      <w:r>
        <w:rPr>
          <w:rStyle w:val="FootnoteReference"/>
        </w:rPr>
        <w:footnoteRef/>
      </w:r>
      <w:r>
        <w:t xml:space="preserve"> </w:t>
      </w:r>
      <w:r w:rsidRPr="00853438">
        <w:t>http://www.nsf.gov/nsb/publications/2015/nsb201510.pdf</w:t>
      </w:r>
    </w:p>
  </w:footnote>
  <w:footnote w:id="2">
    <w:p w14:paraId="28A0669B" w14:textId="77777777" w:rsidR="007C7ECC" w:rsidRDefault="007C7ECC">
      <w:pPr>
        <w:pStyle w:val="FootnoteText"/>
      </w:pPr>
      <w:r>
        <w:rPr>
          <w:rStyle w:val="FootnoteReference"/>
        </w:rPr>
        <w:footnoteRef/>
      </w:r>
      <w:r>
        <w:t xml:space="preserve"> </w:t>
      </w:r>
      <w:r w:rsidRPr="00074C1F">
        <w:t>http://davinci-institute.net/gs4eup/wp-content/uploads/2014/07/p3-Falk-Krzesinski.compressed1.pdf</w:t>
      </w:r>
    </w:p>
  </w:footnote>
  <w:footnote w:id="3">
    <w:p w14:paraId="2C8D16FC" w14:textId="77777777" w:rsidR="007C7ECC" w:rsidRDefault="007C7ECC" w:rsidP="00CF566F">
      <w:pPr>
        <w:pStyle w:val="FootnoteText"/>
      </w:pPr>
      <w:r>
        <w:rPr>
          <w:rStyle w:val="FootnoteReference"/>
        </w:rPr>
        <w:footnoteRef/>
      </w:r>
      <w:r>
        <w:t xml:space="preserve"> </w:t>
      </w:r>
      <w:r w:rsidRPr="00D42284">
        <w:t>http://sites.nationalacademies.org/dbasse/bbcss/currentprojects/dbasse_080231</w:t>
      </w:r>
    </w:p>
  </w:footnote>
  <w:footnote w:id="4">
    <w:p w14:paraId="17FFD893" w14:textId="77777777" w:rsidR="00D5769F" w:rsidRDefault="00D5769F" w:rsidP="00D5769F">
      <w:pPr>
        <w:pStyle w:val="FootnoteText"/>
      </w:pPr>
      <w:r>
        <w:rPr>
          <w:rStyle w:val="FootnoteReference"/>
        </w:rPr>
        <w:footnoteRef/>
      </w:r>
      <w:r>
        <w:t xml:space="preserve"> The information provided by the applicant’s ORCID ID will be used to inform GRFP of future career outcomes. The information will not be used by the panel in the determination of GRFP awards.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2AB0"/>
    <w:multiLevelType w:val="hybridMultilevel"/>
    <w:tmpl w:val="C2467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F01A4"/>
    <w:multiLevelType w:val="hybridMultilevel"/>
    <w:tmpl w:val="2FEA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6073A"/>
    <w:multiLevelType w:val="hybridMultilevel"/>
    <w:tmpl w:val="D5D6F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B0799"/>
    <w:multiLevelType w:val="hybridMultilevel"/>
    <w:tmpl w:val="50B8F348"/>
    <w:lvl w:ilvl="0" w:tplc="4AA059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8571E"/>
    <w:multiLevelType w:val="hybridMultilevel"/>
    <w:tmpl w:val="BDBA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AD5ACB"/>
    <w:multiLevelType w:val="hybridMultilevel"/>
    <w:tmpl w:val="EEFE0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6A0ADD"/>
    <w:multiLevelType w:val="hybridMultilevel"/>
    <w:tmpl w:val="A09E4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3372BD"/>
    <w:multiLevelType w:val="hybridMultilevel"/>
    <w:tmpl w:val="01185F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76A3DCC"/>
    <w:multiLevelType w:val="hybridMultilevel"/>
    <w:tmpl w:val="DE7E199C"/>
    <w:lvl w:ilvl="0" w:tplc="8E3CF57A">
      <w:numFmt w:val="bullet"/>
      <w:lvlText w:val="•"/>
      <w:lvlJc w:val="left"/>
      <w:pPr>
        <w:ind w:left="720" w:hanging="72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9C75E37"/>
    <w:multiLevelType w:val="hybridMultilevel"/>
    <w:tmpl w:val="81EE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483F9C"/>
    <w:multiLevelType w:val="hybridMultilevel"/>
    <w:tmpl w:val="08F64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7764C1"/>
    <w:multiLevelType w:val="hybridMultilevel"/>
    <w:tmpl w:val="0FA2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A20373"/>
    <w:multiLevelType w:val="hybridMultilevel"/>
    <w:tmpl w:val="0B4E2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C9355B"/>
    <w:multiLevelType w:val="hybridMultilevel"/>
    <w:tmpl w:val="324C07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4"/>
  </w:num>
  <w:num w:numId="3">
    <w:abstractNumId w:val="12"/>
  </w:num>
  <w:num w:numId="4">
    <w:abstractNumId w:val="0"/>
  </w:num>
  <w:num w:numId="5">
    <w:abstractNumId w:val="13"/>
  </w:num>
  <w:num w:numId="6">
    <w:abstractNumId w:val="11"/>
  </w:num>
  <w:num w:numId="7">
    <w:abstractNumId w:val="2"/>
  </w:num>
  <w:num w:numId="8">
    <w:abstractNumId w:val="10"/>
  </w:num>
  <w:num w:numId="9">
    <w:abstractNumId w:val="1"/>
  </w:num>
  <w:num w:numId="10">
    <w:abstractNumId w:val="8"/>
  </w:num>
  <w:num w:numId="11">
    <w:abstractNumId w:val="6"/>
  </w:num>
  <w:num w:numId="12">
    <w:abstractNumId w:val="7"/>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CC3"/>
    <w:rsid w:val="00005F46"/>
    <w:rsid w:val="00033DBC"/>
    <w:rsid w:val="000374D8"/>
    <w:rsid w:val="0005276B"/>
    <w:rsid w:val="0006253D"/>
    <w:rsid w:val="000650D5"/>
    <w:rsid w:val="00074C1F"/>
    <w:rsid w:val="000A1B89"/>
    <w:rsid w:val="000C45F9"/>
    <w:rsid w:val="000D7216"/>
    <w:rsid w:val="001145A4"/>
    <w:rsid w:val="00162803"/>
    <w:rsid w:val="0018139A"/>
    <w:rsid w:val="001D60B6"/>
    <w:rsid w:val="001F3950"/>
    <w:rsid w:val="001F6566"/>
    <w:rsid w:val="00200F04"/>
    <w:rsid w:val="00270E43"/>
    <w:rsid w:val="00271BBE"/>
    <w:rsid w:val="002E1A95"/>
    <w:rsid w:val="00332EC6"/>
    <w:rsid w:val="003870A1"/>
    <w:rsid w:val="003925F4"/>
    <w:rsid w:val="0041527A"/>
    <w:rsid w:val="00440F8F"/>
    <w:rsid w:val="004777E8"/>
    <w:rsid w:val="004C1CC3"/>
    <w:rsid w:val="00501CEB"/>
    <w:rsid w:val="00536393"/>
    <w:rsid w:val="00542BD7"/>
    <w:rsid w:val="00576193"/>
    <w:rsid w:val="00577AA6"/>
    <w:rsid w:val="00582B03"/>
    <w:rsid w:val="005D75E5"/>
    <w:rsid w:val="005E1EDA"/>
    <w:rsid w:val="005E7D01"/>
    <w:rsid w:val="005F6898"/>
    <w:rsid w:val="00635021"/>
    <w:rsid w:val="0065215E"/>
    <w:rsid w:val="006C52C6"/>
    <w:rsid w:val="006E67AF"/>
    <w:rsid w:val="00702E29"/>
    <w:rsid w:val="007349A7"/>
    <w:rsid w:val="00742465"/>
    <w:rsid w:val="00797304"/>
    <w:rsid w:val="007A595F"/>
    <w:rsid w:val="007C7ECC"/>
    <w:rsid w:val="008257AF"/>
    <w:rsid w:val="00832CE7"/>
    <w:rsid w:val="008359A6"/>
    <w:rsid w:val="00861FC5"/>
    <w:rsid w:val="00871748"/>
    <w:rsid w:val="008777AB"/>
    <w:rsid w:val="008B04F7"/>
    <w:rsid w:val="008C299C"/>
    <w:rsid w:val="009158C6"/>
    <w:rsid w:val="009A3F8E"/>
    <w:rsid w:val="009A476E"/>
    <w:rsid w:val="00A073EC"/>
    <w:rsid w:val="00A11F13"/>
    <w:rsid w:val="00A26A15"/>
    <w:rsid w:val="00A967AD"/>
    <w:rsid w:val="00AD73C6"/>
    <w:rsid w:val="00AE79C8"/>
    <w:rsid w:val="00AF06F3"/>
    <w:rsid w:val="00B001AB"/>
    <w:rsid w:val="00B6475D"/>
    <w:rsid w:val="00B80C7A"/>
    <w:rsid w:val="00B85119"/>
    <w:rsid w:val="00B927B6"/>
    <w:rsid w:val="00C14CA0"/>
    <w:rsid w:val="00C46594"/>
    <w:rsid w:val="00C56B1D"/>
    <w:rsid w:val="00C65A93"/>
    <w:rsid w:val="00C80515"/>
    <w:rsid w:val="00C9435C"/>
    <w:rsid w:val="00CA01F6"/>
    <w:rsid w:val="00CD3FF5"/>
    <w:rsid w:val="00CE2467"/>
    <w:rsid w:val="00CF566F"/>
    <w:rsid w:val="00D41E2E"/>
    <w:rsid w:val="00D5769F"/>
    <w:rsid w:val="00DE0882"/>
    <w:rsid w:val="00E0630E"/>
    <w:rsid w:val="00E24E61"/>
    <w:rsid w:val="00E43B3D"/>
    <w:rsid w:val="00EA1438"/>
    <w:rsid w:val="00EC4C06"/>
    <w:rsid w:val="00EC6222"/>
    <w:rsid w:val="00EF5A9D"/>
    <w:rsid w:val="00F15FF0"/>
    <w:rsid w:val="00F27D44"/>
    <w:rsid w:val="00F40559"/>
    <w:rsid w:val="00F44B7E"/>
    <w:rsid w:val="00F83425"/>
    <w:rsid w:val="00F923D5"/>
    <w:rsid w:val="00FB3688"/>
    <w:rsid w:val="00FE1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6D1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CC3"/>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locked/>
    <w:rsid w:val="004C1CC3"/>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34"/>
    <w:qFormat/>
    <w:rsid w:val="004C1CC3"/>
    <w:pPr>
      <w:ind w:left="720"/>
      <w:contextualSpacing/>
    </w:pPr>
    <w:rPr>
      <w:rFonts w:asciiTheme="minorHAnsi" w:hAnsiTheme="minorHAnsi" w:cstheme="minorBidi"/>
    </w:rPr>
  </w:style>
  <w:style w:type="paragraph" w:customStyle="1" w:styleId="Default">
    <w:name w:val="Default"/>
    <w:rsid w:val="004C1CC3"/>
    <w:pPr>
      <w:autoSpaceDE w:val="0"/>
      <w:autoSpaceDN w:val="0"/>
      <w:adjustRightInd w:val="0"/>
      <w:spacing w:line="240" w:lineRule="auto"/>
    </w:pPr>
    <w:rPr>
      <w:rFonts w:ascii="Calibri" w:hAnsi="Calibri" w:cs="Calibri"/>
      <w:color w:val="000000"/>
      <w:sz w:val="24"/>
      <w:szCs w:val="24"/>
    </w:rPr>
  </w:style>
  <w:style w:type="character" w:styleId="Hyperlink">
    <w:name w:val="Hyperlink"/>
    <w:basedOn w:val="DefaultParagraphFont"/>
    <w:uiPriority w:val="99"/>
    <w:unhideWhenUsed/>
    <w:rsid w:val="004C1CC3"/>
    <w:rPr>
      <w:color w:val="0000FF" w:themeColor="hyperlink"/>
      <w:u w:val="single"/>
    </w:rPr>
  </w:style>
  <w:style w:type="paragraph" w:styleId="FootnoteText">
    <w:name w:val="footnote text"/>
    <w:basedOn w:val="Normal"/>
    <w:link w:val="FootnoteTextChar"/>
    <w:uiPriority w:val="99"/>
    <w:unhideWhenUsed/>
    <w:rsid w:val="004C1CC3"/>
    <w:pPr>
      <w:spacing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4C1CC3"/>
    <w:rPr>
      <w:sz w:val="20"/>
      <w:szCs w:val="20"/>
    </w:rPr>
  </w:style>
  <w:style w:type="character" w:styleId="FootnoteReference">
    <w:name w:val="footnote reference"/>
    <w:basedOn w:val="DefaultParagraphFont"/>
    <w:uiPriority w:val="99"/>
    <w:unhideWhenUsed/>
    <w:rsid w:val="004C1CC3"/>
    <w:rPr>
      <w:vertAlign w:val="superscript"/>
    </w:rPr>
  </w:style>
  <w:style w:type="character" w:styleId="CommentReference">
    <w:name w:val="annotation reference"/>
    <w:basedOn w:val="DefaultParagraphFont"/>
    <w:uiPriority w:val="99"/>
    <w:semiHidden/>
    <w:unhideWhenUsed/>
    <w:rsid w:val="00C80515"/>
    <w:rPr>
      <w:sz w:val="16"/>
      <w:szCs w:val="16"/>
    </w:rPr>
  </w:style>
  <w:style w:type="paragraph" w:styleId="CommentText">
    <w:name w:val="annotation text"/>
    <w:basedOn w:val="Normal"/>
    <w:link w:val="CommentTextChar"/>
    <w:uiPriority w:val="99"/>
    <w:semiHidden/>
    <w:unhideWhenUsed/>
    <w:rsid w:val="00C80515"/>
    <w:pPr>
      <w:spacing w:line="240" w:lineRule="auto"/>
    </w:pPr>
    <w:rPr>
      <w:sz w:val="20"/>
      <w:szCs w:val="20"/>
    </w:rPr>
  </w:style>
  <w:style w:type="character" w:customStyle="1" w:styleId="CommentTextChar">
    <w:name w:val="Comment Text Char"/>
    <w:basedOn w:val="DefaultParagraphFont"/>
    <w:link w:val="CommentText"/>
    <w:uiPriority w:val="99"/>
    <w:semiHidden/>
    <w:rsid w:val="00C8051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80515"/>
    <w:rPr>
      <w:b/>
      <w:bCs/>
    </w:rPr>
  </w:style>
  <w:style w:type="character" w:customStyle="1" w:styleId="CommentSubjectChar">
    <w:name w:val="Comment Subject Char"/>
    <w:basedOn w:val="CommentTextChar"/>
    <w:link w:val="CommentSubject"/>
    <w:uiPriority w:val="99"/>
    <w:semiHidden/>
    <w:rsid w:val="00C80515"/>
    <w:rPr>
      <w:rFonts w:ascii="Calibri" w:hAnsi="Calibri" w:cs="Times New Roman"/>
      <w:b/>
      <w:bCs/>
      <w:sz w:val="20"/>
      <w:szCs w:val="20"/>
    </w:rPr>
  </w:style>
  <w:style w:type="paragraph" w:styleId="BalloonText">
    <w:name w:val="Balloon Text"/>
    <w:basedOn w:val="Normal"/>
    <w:link w:val="BalloonTextChar"/>
    <w:uiPriority w:val="99"/>
    <w:semiHidden/>
    <w:unhideWhenUsed/>
    <w:rsid w:val="00C805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515"/>
    <w:rPr>
      <w:rFonts w:ascii="Tahoma" w:hAnsi="Tahoma" w:cs="Tahoma"/>
      <w:sz w:val="16"/>
      <w:szCs w:val="16"/>
    </w:rPr>
  </w:style>
  <w:style w:type="character" w:customStyle="1" w:styleId="A10">
    <w:name w:val="A10"/>
    <w:uiPriority w:val="99"/>
    <w:rsid w:val="00CF566F"/>
    <w:rPr>
      <w:rFonts w:cs="Verdana"/>
      <w:color w:val="221E1F"/>
      <w:sz w:val="19"/>
      <w:szCs w:val="19"/>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CC3"/>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locked/>
    <w:rsid w:val="004C1CC3"/>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34"/>
    <w:qFormat/>
    <w:rsid w:val="004C1CC3"/>
    <w:pPr>
      <w:ind w:left="720"/>
      <w:contextualSpacing/>
    </w:pPr>
    <w:rPr>
      <w:rFonts w:asciiTheme="minorHAnsi" w:hAnsiTheme="minorHAnsi" w:cstheme="minorBidi"/>
    </w:rPr>
  </w:style>
  <w:style w:type="paragraph" w:customStyle="1" w:styleId="Default">
    <w:name w:val="Default"/>
    <w:rsid w:val="004C1CC3"/>
    <w:pPr>
      <w:autoSpaceDE w:val="0"/>
      <w:autoSpaceDN w:val="0"/>
      <w:adjustRightInd w:val="0"/>
      <w:spacing w:line="240" w:lineRule="auto"/>
    </w:pPr>
    <w:rPr>
      <w:rFonts w:ascii="Calibri" w:hAnsi="Calibri" w:cs="Calibri"/>
      <w:color w:val="000000"/>
      <w:sz w:val="24"/>
      <w:szCs w:val="24"/>
    </w:rPr>
  </w:style>
  <w:style w:type="character" w:styleId="Hyperlink">
    <w:name w:val="Hyperlink"/>
    <w:basedOn w:val="DefaultParagraphFont"/>
    <w:uiPriority w:val="99"/>
    <w:unhideWhenUsed/>
    <w:rsid w:val="004C1CC3"/>
    <w:rPr>
      <w:color w:val="0000FF" w:themeColor="hyperlink"/>
      <w:u w:val="single"/>
    </w:rPr>
  </w:style>
  <w:style w:type="paragraph" w:styleId="FootnoteText">
    <w:name w:val="footnote text"/>
    <w:basedOn w:val="Normal"/>
    <w:link w:val="FootnoteTextChar"/>
    <w:uiPriority w:val="99"/>
    <w:unhideWhenUsed/>
    <w:rsid w:val="004C1CC3"/>
    <w:pPr>
      <w:spacing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4C1CC3"/>
    <w:rPr>
      <w:sz w:val="20"/>
      <w:szCs w:val="20"/>
    </w:rPr>
  </w:style>
  <w:style w:type="character" w:styleId="FootnoteReference">
    <w:name w:val="footnote reference"/>
    <w:basedOn w:val="DefaultParagraphFont"/>
    <w:uiPriority w:val="99"/>
    <w:unhideWhenUsed/>
    <w:rsid w:val="004C1CC3"/>
    <w:rPr>
      <w:vertAlign w:val="superscript"/>
    </w:rPr>
  </w:style>
  <w:style w:type="character" w:styleId="CommentReference">
    <w:name w:val="annotation reference"/>
    <w:basedOn w:val="DefaultParagraphFont"/>
    <w:uiPriority w:val="99"/>
    <w:semiHidden/>
    <w:unhideWhenUsed/>
    <w:rsid w:val="00C80515"/>
    <w:rPr>
      <w:sz w:val="16"/>
      <w:szCs w:val="16"/>
    </w:rPr>
  </w:style>
  <w:style w:type="paragraph" w:styleId="CommentText">
    <w:name w:val="annotation text"/>
    <w:basedOn w:val="Normal"/>
    <w:link w:val="CommentTextChar"/>
    <w:uiPriority w:val="99"/>
    <w:semiHidden/>
    <w:unhideWhenUsed/>
    <w:rsid w:val="00C80515"/>
    <w:pPr>
      <w:spacing w:line="240" w:lineRule="auto"/>
    </w:pPr>
    <w:rPr>
      <w:sz w:val="20"/>
      <w:szCs w:val="20"/>
    </w:rPr>
  </w:style>
  <w:style w:type="character" w:customStyle="1" w:styleId="CommentTextChar">
    <w:name w:val="Comment Text Char"/>
    <w:basedOn w:val="DefaultParagraphFont"/>
    <w:link w:val="CommentText"/>
    <w:uiPriority w:val="99"/>
    <w:semiHidden/>
    <w:rsid w:val="00C8051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80515"/>
    <w:rPr>
      <w:b/>
      <w:bCs/>
    </w:rPr>
  </w:style>
  <w:style w:type="character" w:customStyle="1" w:styleId="CommentSubjectChar">
    <w:name w:val="Comment Subject Char"/>
    <w:basedOn w:val="CommentTextChar"/>
    <w:link w:val="CommentSubject"/>
    <w:uiPriority w:val="99"/>
    <w:semiHidden/>
    <w:rsid w:val="00C80515"/>
    <w:rPr>
      <w:rFonts w:ascii="Calibri" w:hAnsi="Calibri" w:cs="Times New Roman"/>
      <w:b/>
      <w:bCs/>
      <w:sz w:val="20"/>
      <w:szCs w:val="20"/>
    </w:rPr>
  </w:style>
  <w:style w:type="paragraph" w:styleId="BalloonText">
    <w:name w:val="Balloon Text"/>
    <w:basedOn w:val="Normal"/>
    <w:link w:val="BalloonTextChar"/>
    <w:uiPriority w:val="99"/>
    <w:semiHidden/>
    <w:unhideWhenUsed/>
    <w:rsid w:val="00C805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515"/>
    <w:rPr>
      <w:rFonts w:ascii="Tahoma" w:hAnsi="Tahoma" w:cs="Tahoma"/>
      <w:sz w:val="16"/>
      <w:szCs w:val="16"/>
    </w:rPr>
  </w:style>
  <w:style w:type="character" w:customStyle="1" w:styleId="A10">
    <w:name w:val="A10"/>
    <w:uiPriority w:val="99"/>
    <w:rsid w:val="00CF566F"/>
    <w:rPr>
      <w:rFonts w:cs="Verdana"/>
      <w:color w:val="221E1F"/>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625258">
      <w:bodyDiv w:val="1"/>
      <w:marLeft w:val="0"/>
      <w:marRight w:val="0"/>
      <w:marTop w:val="0"/>
      <w:marBottom w:val="0"/>
      <w:divBdr>
        <w:top w:val="none" w:sz="0" w:space="0" w:color="auto"/>
        <w:left w:val="none" w:sz="0" w:space="0" w:color="auto"/>
        <w:bottom w:val="none" w:sz="0" w:space="0" w:color="auto"/>
        <w:right w:val="none" w:sz="0" w:space="0" w:color="auto"/>
      </w:divBdr>
      <w:divsChild>
        <w:div w:id="1327824964">
          <w:marLeft w:val="640"/>
          <w:marRight w:val="0"/>
          <w:marTop w:val="0"/>
          <w:marBottom w:val="0"/>
          <w:divBdr>
            <w:top w:val="none" w:sz="0" w:space="0" w:color="auto"/>
            <w:left w:val="none" w:sz="0" w:space="0" w:color="auto"/>
            <w:bottom w:val="none" w:sz="0" w:space="0" w:color="auto"/>
            <w:right w:val="none" w:sz="0" w:space="0" w:color="auto"/>
          </w:divBdr>
        </w:div>
        <w:div w:id="709839930">
          <w:marLeft w:val="640"/>
          <w:marRight w:val="0"/>
          <w:marTop w:val="0"/>
          <w:marBottom w:val="0"/>
          <w:divBdr>
            <w:top w:val="none" w:sz="0" w:space="0" w:color="auto"/>
            <w:left w:val="none" w:sz="0" w:space="0" w:color="auto"/>
            <w:bottom w:val="none" w:sz="0" w:space="0" w:color="auto"/>
            <w:right w:val="none" w:sz="0" w:space="0" w:color="auto"/>
          </w:divBdr>
        </w:div>
        <w:div w:id="1655795261">
          <w:marLeft w:val="640"/>
          <w:marRight w:val="0"/>
          <w:marTop w:val="0"/>
          <w:marBottom w:val="0"/>
          <w:divBdr>
            <w:top w:val="none" w:sz="0" w:space="0" w:color="auto"/>
            <w:left w:val="none" w:sz="0" w:space="0" w:color="auto"/>
            <w:bottom w:val="none" w:sz="0" w:space="0" w:color="auto"/>
            <w:right w:val="none" w:sz="0" w:space="0" w:color="auto"/>
          </w:divBdr>
        </w:div>
        <w:div w:id="1267156901">
          <w:marLeft w:val="640"/>
          <w:marRight w:val="0"/>
          <w:marTop w:val="0"/>
          <w:marBottom w:val="0"/>
          <w:divBdr>
            <w:top w:val="none" w:sz="0" w:space="0" w:color="auto"/>
            <w:left w:val="none" w:sz="0" w:space="0" w:color="auto"/>
            <w:bottom w:val="none" w:sz="0" w:space="0" w:color="auto"/>
            <w:right w:val="none" w:sz="0" w:space="0" w:color="auto"/>
          </w:divBdr>
        </w:div>
        <w:div w:id="280839461">
          <w:marLeft w:val="640"/>
          <w:marRight w:val="0"/>
          <w:marTop w:val="0"/>
          <w:marBottom w:val="0"/>
          <w:divBdr>
            <w:top w:val="none" w:sz="0" w:space="0" w:color="auto"/>
            <w:left w:val="none" w:sz="0" w:space="0" w:color="auto"/>
            <w:bottom w:val="none" w:sz="0" w:space="0" w:color="auto"/>
            <w:right w:val="none" w:sz="0" w:space="0" w:color="auto"/>
          </w:divBdr>
        </w:div>
        <w:div w:id="876355819">
          <w:marLeft w:val="640"/>
          <w:marRight w:val="0"/>
          <w:marTop w:val="0"/>
          <w:marBottom w:val="0"/>
          <w:divBdr>
            <w:top w:val="none" w:sz="0" w:space="0" w:color="auto"/>
            <w:left w:val="none" w:sz="0" w:space="0" w:color="auto"/>
            <w:bottom w:val="none" w:sz="0" w:space="0" w:color="auto"/>
            <w:right w:val="none" w:sz="0" w:space="0" w:color="auto"/>
          </w:divBdr>
        </w:div>
        <w:div w:id="1819957869">
          <w:marLeft w:val="640"/>
          <w:marRight w:val="0"/>
          <w:marTop w:val="0"/>
          <w:marBottom w:val="0"/>
          <w:divBdr>
            <w:top w:val="none" w:sz="0" w:space="0" w:color="auto"/>
            <w:left w:val="none" w:sz="0" w:space="0" w:color="auto"/>
            <w:bottom w:val="none" w:sz="0" w:space="0" w:color="auto"/>
            <w:right w:val="none" w:sz="0" w:space="0" w:color="auto"/>
          </w:divBdr>
        </w:div>
        <w:div w:id="610749440">
          <w:marLeft w:val="640"/>
          <w:marRight w:val="0"/>
          <w:marTop w:val="0"/>
          <w:marBottom w:val="0"/>
          <w:divBdr>
            <w:top w:val="none" w:sz="0" w:space="0" w:color="auto"/>
            <w:left w:val="none" w:sz="0" w:space="0" w:color="auto"/>
            <w:bottom w:val="none" w:sz="0" w:space="0" w:color="auto"/>
            <w:right w:val="none" w:sz="0" w:space="0" w:color="auto"/>
          </w:divBdr>
        </w:div>
        <w:div w:id="1143932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ap.edu/catalog/4935/reshaping-the-graduate-education-of-scientists-and-engineers" TargetMode="External"/><Relationship Id="rId12" Type="http://schemas.openxmlformats.org/officeDocument/2006/relationships/hyperlink" Target="http://www.nsf.gov/nsb/publications/2015/nsb201510.pdf" TargetMode="External"/><Relationship Id="rId13" Type="http://schemas.openxmlformats.org/officeDocument/2006/relationships/hyperlink" Target="https://www.whitehouse.gov/sites/default/files/microsites/ostp/stem_stratplan_2013.pdf" TargetMode="External"/><Relationship Id="rId14" Type="http://schemas.openxmlformats.org/officeDocument/2006/relationships/hyperlink" Target="http://www.nap.edu/catalog/13396/research-universities-and-the-future-of-america-ten-breakthrough-actions" TargetMode="External"/><Relationship Id="rId15" Type="http://schemas.openxmlformats.org/officeDocument/2006/relationships/hyperlink" Target="http://www.nap.edu/catalog/19007/enhancing-the-effectiveness-of-team-science" TargetMode="External"/><Relationship Id="rId16" Type="http://schemas.openxmlformats.org/officeDocument/2006/relationships/hyperlink" Target="https://www.acs.org/content/dam/acsorg/about/governance/acs-commission-on-graduate-education-summary-report.pdf"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nsf.gov/pubs/2014/nsf14043/nsf14043.pdf" TargetMode="External"/><Relationship Id="rId10" Type="http://schemas.openxmlformats.org/officeDocument/2006/relationships/hyperlink" Target="http://www.fgereport.org/rsc/pdf/CFGE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E2FEF-7163-2C4E-97BB-2FAA788D4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1321</Words>
  <Characters>7532</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Layne</dc:creator>
  <cp:lastModifiedBy>Montona Futrell-Griggs</cp:lastModifiedBy>
  <cp:revision>2</cp:revision>
  <cp:lastPrinted>2015-07-16T14:39:00Z</cp:lastPrinted>
  <dcterms:created xsi:type="dcterms:W3CDTF">2015-09-17T13:44:00Z</dcterms:created>
  <dcterms:modified xsi:type="dcterms:W3CDTF">2015-09-17T13:44:00Z</dcterms:modified>
</cp:coreProperties>
</file>